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EF" w:rsidRDefault="007D37EF"/>
    <w:p w:rsidR="007D37EF" w:rsidRDefault="007D37EF" w:rsidP="007D37EF">
      <w:pPr>
        <w:jc w:val="right"/>
      </w:pPr>
      <w:r>
        <w:rPr>
          <w:noProof/>
          <w:color w:val="15992B"/>
          <w:sz w:val="52"/>
          <w:szCs w:val="52"/>
        </w:rPr>
        <w:drawing>
          <wp:inline distT="0" distB="0" distL="0" distR="0">
            <wp:extent cx="1490803" cy="71791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_logo_png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508" cy="743299"/>
                    </a:xfrm>
                    <a:prstGeom prst="rect">
                      <a:avLst/>
                    </a:prstGeom>
                  </pic:spPr>
                </pic:pic>
              </a:graphicData>
            </a:graphic>
          </wp:inline>
        </w:drawing>
      </w:r>
    </w:p>
    <w:p w:rsidR="007D37EF" w:rsidRDefault="007D37EF" w:rsidP="007D37EF">
      <w:pPr>
        <w:jc w:val="center"/>
        <w:rPr>
          <w:b/>
          <w:sz w:val="72"/>
          <w:szCs w:val="72"/>
        </w:rPr>
      </w:pPr>
    </w:p>
    <w:p w:rsidR="007D37EF" w:rsidRDefault="007D37EF" w:rsidP="007D37EF">
      <w:pPr>
        <w:jc w:val="center"/>
        <w:rPr>
          <w:b/>
          <w:sz w:val="72"/>
          <w:szCs w:val="72"/>
        </w:rPr>
      </w:pPr>
    </w:p>
    <w:p w:rsidR="007D37EF" w:rsidRDefault="007D37EF" w:rsidP="007D37EF">
      <w:pPr>
        <w:jc w:val="center"/>
        <w:rPr>
          <w:b/>
          <w:sz w:val="72"/>
          <w:szCs w:val="72"/>
        </w:rPr>
      </w:pPr>
    </w:p>
    <w:p w:rsidR="007D37EF" w:rsidRDefault="007D37EF" w:rsidP="007D37EF">
      <w:pPr>
        <w:jc w:val="center"/>
        <w:rPr>
          <w:b/>
          <w:sz w:val="72"/>
          <w:szCs w:val="72"/>
        </w:rPr>
      </w:pPr>
    </w:p>
    <w:p w:rsidR="007D37EF" w:rsidRDefault="007D37EF" w:rsidP="00840513">
      <w:pPr>
        <w:jc w:val="center"/>
        <w:rPr>
          <w:b/>
          <w:sz w:val="72"/>
          <w:szCs w:val="72"/>
        </w:rPr>
      </w:pPr>
      <w:r w:rsidRPr="00D1453E">
        <w:rPr>
          <w:b/>
          <w:sz w:val="72"/>
          <w:szCs w:val="72"/>
        </w:rPr>
        <w:t xml:space="preserve">Complaints Handling </w:t>
      </w:r>
      <w:r w:rsidR="00122B05">
        <w:rPr>
          <w:b/>
          <w:sz w:val="72"/>
          <w:szCs w:val="72"/>
        </w:rPr>
        <w:t>Second</w:t>
      </w:r>
      <w:r w:rsidR="00840513">
        <w:rPr>
          <w:b/>
          <w:sz w:val="72"/>
          <w:szCs w:val="72"/>
        </w:rPr>
        <w:t xml:space="preserve"> Quarter Report</w:t>
      </w: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C6577D" w:rsidRDefault="00122B05" w:rsidP="007D37EF">
      <w:pPr>
        <w:jc w:val="center"/>
        <w:rPr>
          <w:b/>
          <w:sz w:val="48"/>
          <w:szCs w:val="48"/>
        </w:rPr>
      </w:pPr>
      <w:r>
        <w:rPr>
          <w:b/>
          <w:sz w:val="48"/>
          <w:szCs w:val="48"/>
        </w:rPr>
        <w:t>November 2023</w:t>
      </w:r>
      <w:r w:rsidR="00840513">
        <w:rPr>
          <w:b/>
          <w:sz w:val="48"/>
          <w:szCs w:val="48"/>
        </w:rPr>
        <w:t xml:space="preserve"> – </w:t>
      </w:r>
      <w:r>
        <w:rPr>
          <w:b/>
          <w:sz w:val="48"/>
          <w:szCs w:val="48"/>
        </w:rPr>
        <w:t>January</w:t>
      </w:r>
      <w:r w:rsidR="00840513">
        <w:rPr>
          <w:b/>
          <w:sz w:val="48"/>
          <w:szCs w:val="48"/>
        </w:rPr>
        <w:t xml:space="preserve"> </w:t>
      </w:r>
      <w:r w:rsidR="007D37EF" w:rsidRPr="005F6A68">
        <w:rPr>
          <w:b/>
          <w:sz w:val="48"/>
          <w:szCs w:val="48"/>
        </w:rPr>
        <w:t>202</w:t>
      </w:r>
      <w:r>
        <w:rPr>
          <w:b/>
          <w:sz w:val="48"/>
          <w:szCs w:val="48"/>
        </w:rPr>
        <w:t>4</w:t>
      </w:r>
    </w:p>
    <w:p w:rsidR="007D37EF" w:rsidRDefault="007D37EF" w:rsidP="007D37EF">
      <w:pPr>
        <w:jc w:val="center"/>
      </w:pPr>
    </w:p>
    <w:p w:rsidR="007D37EF" w:rsidRDefault="007D37EF" w:rsidP="007D37EF">
      <w:pPr>
        <w:jc w:val="center"/>
      </w:pPr>
    </w:p>
    <w:p w:rsidR="007D37EF" w:rsidRDefault="007D37EF" w:rsidP="007D37EF">
      <w:pPr>
        <w:jc w:val="center"/>
      </w:pPr>
    </w:p>
    <w:p w:rsidR="00D1453E" w:rsidRDefault="00D1453E">
      <w:pPr>
        <w:sectPr w:rsidR="00D1453E" w:rsidSect="00156C3A">
          <w:headerReference w:type="default" r:id="rId9"/>
          <w:footerReference w:type="default" r:id="rId10"/>
          <w:pgSz w:w="11906" w:h="16838" w:code="9"/>
          <w:pgMar w:top="1418" w:right="1418" w:bottom="1418" w:left="1418" w:header="737" w:footer="737" w:gutter="0"/>
          <w:cols w:space="708"/>
          <w:docGrid w:linePitch="360"/>
        </w:sectPr>
      </w:pPr>
    </w:p>
    <w:p w:rsidR="00D1453E" w:rsidRPr="003A12D9" w:rsidRDefault="00F15CF9" w:rsidP="003A12D9">
      <w:pPr>
        <w:rPr>
          <w:b/>
          <w:color w:val="852B45"/>
          <w:sz w:val="32"/>
          <w:szCs w:val="32"/>
        </w:rPr>
      </w:pPr>
      <w:r w:rsidRPr="003A12D9">
        <w:rPr>
          <w:b/>
          <w:color w:val="852B45"/>
          <w:sz w:val="32"/>
          <w:szCs w:val="32"/>
        </w:rPr>
        <w:lastRenderedPageBreak/>
        <w:t>Contents</w:t>
      </w:r>
    </w:p>
    <w:p w:rsidR="003A12D9" w:rsidRPr="003A12D9" w:rsidRDefault="003A12D9" w:rsidP="003A12D9"/>
    <w:p w:rsidR="005E05D4" w:rsidRDefault="003C2605">
      <w:pPr>
        <w:pStyle w:val="TOC1"/>
        <w:tabs>
          <w:tab w:val="right" w:leader="dot" w:pos="9060"/>
        </w:tabs>
        <w:rPr>
          <w:rFonts w:asciiTheme="minorHAnsi" w:hAnsiTheme="minorHAnsi" w:cstheme="minorBidi"/>
          <w:noProof/>
          <w:color w:val="auto"/>
          <w:lang w:val="en-GB" w:eastAsia="en-GB"/>
        </w:rPr>
      </w:pPr>
      <w:r>
        <w:fldChar w:fldCharType="begin"/>
      </w:r>
      <w:r>
        <w:instrText xml:space="preserve"> TOC \o "1-2" \h \z \u </w:instrText>
      </w:r>
      <w:r>
        <w:fldChar w:fldCharType="separate"/>
      </w:r>
      <w:hyperlink w:anchor="_Toc149811894" w:history="1">
        <w:r w:rsidR="005E05D4" w:rsidRPr="00E3345A">
          <w:rPr>
            <w:rStyle w:val="Hyperlink"/>
            <w:noProof/>
          </w:rPr>
          <w:t>Indicator 1:  Total number of complaints received at Stages 1 &amp; 2</w:t>
        </w:r>
        <w:r w:rsidR="005E05D4">
          <w:rPr>
            <w:noProof/>
            <w:webHidden/>
          </w:rPr>
          <w:tab/>
        </w:r>
        <w:r w:rsidR="005E05D4">
          <w:rPr>
            <w:noProof/>
            <w:webHidden/>
          </w:rPr>
          <w:fldChar w:fldCharType="begin"/>
        </w:r>
        <w:r w:rsidR="005E05D4">
          <w:rPr>
            <w:noProof/>
            <w:webHidden/>
          </w:rPr>
          <w:instrText xml:space="preserve"> PAGEREF _Toc149811894 \h </w:instrText>
        </w:r>
        <w:r w:rsidR="005E05D4">
          <w:rPr>
            <w:noProof/>
            <w:webHidden/>
          </w:rPr>
        </w:r>
        <w:r w:rsidR="005E05D4">
          <w:rPr>
            <w:noProof/>
            <w:webHidden/>
          </w:rPr>
          <w:fldChar w:fldCharType="separate"/>
        </w:r>
        <w:r w:rsidR="005E05D4">
          <w:rPr>
            <w:noProof/>
            <w:webHidden/>
          </w:rPr>
          <w:t>3</w:t>
        </w:r>
        <w:r w:rsidR="005E05D4">
          <w:rPr>
            <w:noProof/>
            <w:webHidden/>
          </w:rPr>
          <w:fldChar w:fldCharType="end"/>
        </w:r>
      </w:hyperlink>
    </w:p>
    <w:p w:rsidR="005E05D4" w:rsidRDefault="00CA78B7">
      <w:pPr>
        <w:pStyle w:val="TOC1"/>
        <w:tabs>
          <w:tab w:val="right" w:leader="dot" w:pos="9060"/>
        </w:tabs>
        <w:rPr>
          <w:rFonts w:asciiTheme="minorHAnsi" w:hAnsiTheme="minorHAnsi" w:cstheme="minorBidi"/>
          <w:noProof/>
          <w:color w:val="auto"/>
          <w:lang w:val="en-GB" w:eastAsia="en-GB"/>
        </w:rPr>
      </w:pPr>
      <w:hyperlink w:anchor="_Toc149811895" w:history="1">
        <w:r w:rsidR="005E05D4" w:rsidRPr="00E3345A">
          <w:rPr>
            <w:rStyle w:val="Hyperlink"/>
            <w:noProof/>
          </w:rPr>
          <w:t>Indicator 2:  The number and percentage of complaints at each stage which were closed within the set timescales of 5 &amp; 20 working days</w:t>
        </w:r>
        <w:r w:rsidR="005E05D4">
          <w:rPr>
            <w:noProof/>
            <w:webHidden/>
          </w:rPr>
          <w:tab/>
        </w:r>
        <w:r w:rsidR="005E05D4">
          <w:rPr>
            <w:noProof/>
            <w:webHidden/>
          </w:rPr>
          <w:fldChar w:fldCharType="begin"/>
        </w:r>
        <w:r w:rsidR="005E05D4">
          <w:rPr>
            <w:noProof/>
            <w:webHidden/>
          </w:rPr>
          <w:instrText xml:space="preserve"> PAGEREF _Toc149811895 \h </w:instrText>
        </w:r>
        <w:r w:rsidR="005E05D4">
          <w:rPr>
            <w:noProof/>
            <w:webHidden/>
          </w:rPr>
        </w:r>
        <w:r w:rsidR="005E05D4">
          <w:rPr>
            <w:noProof/>
            <w:webHidden/>
          </w:rPr>
          <w:fldChar w:fldCharType="separate"/>
        </w:r>
        <w:r w:rsidR="005E05D4">
          <w:rPr>
            <w:noProof/>
            <w:webHidden/>
          </w:rPr>
          <w:t>3</w:t>
        </w:r>
        <w:r w:rsidR="005E05D4">
          <w:rPr>
            <w:noProof/>
            <w:webHidden/>
          </w:rPr>
          <w:fldChar w:fldCharType="end"/>
        </w:r>
      </w:hyperlink>
    </w:p>
    <w:p w:rsidR="005E05D4" w:rsidRDefault="00CA78B7">
      <w:pPr>
        <w:pStyle w:val="TOC1"/>
        <w:tabs>
          <w:tab w:val="right" w:leader="dot" w:pos="9060"/>
        </w:tabs>
        <w:rPr>
          <w:rFonts w:asciiTheme="minorHAnsi" w:hAnsiTheme="minorHAnsi" w:cstheme="minorBidi"/>
          <w:noProof/>
          <w:color w:val="auto"/>
          <w:lang w:val="en-GB" w:eastAsia="en-GB"/>
        </w:rPr>
      </w:pPr>
      <w:hyperlink w:anchor="_Toc149811896" w:history="1">
        <w:r w:rsidR="005E05D4" w:rsidRPr="00E3345A">
          <w:rPr>
            <w:rStyle w:val="Hyperlink"/>
            <w:noProof/>
          </w:rPr>
          <w:t>Indicator 3: The average time in working days for a full response to complaints at each stage</w:t>
        </w:r>
        <w:r w:rsidR="005E05D4">
          <w:rPr>
            <w:noProof/>
            <w:webHidden/>
          </w:rPr>
          <w:tab/>
        </w:r>
        <w:r w:rsidR="005E05D4">
          <w:rPr>
            <w:noProof/>
            <w:webHidden/>
          </w:rPr>
          <w:fldChar w:fldCharType="begin"/>
        </w:r>
        <w:r w:rsidR="005E05D4">
          <w:rPr>
            <w:noProof/>
            <w:webHidden/>
          </w:rPr>
          <w:instrText xml:space="preserve"> PAGEREF _Toc149811896 \h </w:instrText>
        </w:r>
        <w:r w:rsidR="005E05D4">
          <w:rPr>
            <w:noProof/>
            <w:webHidden/>
          </w:rPr>
        </w:r>
        <w:r w:rsidR="005E05D4">
          <w:rPr>
            <w:noProof/>
            <w:webHidden/>
          </w:rPr>
          <w:fldChar w:fldCharType="separate"/>
        </w:r>
        <w:r w:rsidR="005E05D4">
          <w:rPr>
            <w:noProof/>
            <w:webHidden/>
          </w:rPr>
          <w:t>3</w:t>
        </w:r>
        <w:r w:rsidR="005E05D4">
          <w:rPr>
            <w:noProof/>
            <w:webHidden/>
          </w:rPr>
          <w:fldChar w:fldCharType="end"/>
        </w:r>
      </w:hyperlink>
    </w:p>
    <w:p w:rsidR="005E05D4" w:rsidRDefault="00CA78B7">
      <w:pPr>
        <w:pStyle w:val="TOC1"/>
        <w:tabs>
          <w:tab w:val="right" w:leader="dot" w:pos="9060"/>
        </w:tabs>
        <w:rPr>
          <w:rFonts w:asciiTheme="minorHAnsi" w:hAnsiTheme="minorHAnsi" w:cstheme="minorBidi"/>
          <w:noProof/>
          <w:color w:val="auto"/>
          <w:lang w:val="en-GB" w:eastAsia="en-GB"/>
        </w:rPr>
      </w:pPr>
      <w:hyperlink w:anchor="_Toc149811897" w:history="1">
        <w:r w:rsidR="005E05D4" w:rsidRPr="00E3345A">
          <w:rPr>
            <w:rStyle w:val="Hyperlink"/>
            <w:noProof/>
          </w:rPr>
          <w:t>Indicator 4:  The outcome of complaints at each stage</w:t>
        </w:r>
        <w:r w:rsidR="005E05D4">
          <w:rPr>
            <w:noProof/>
            <w:webHidden/>
          </w:rPr>
          <w:tab/>
        </w:r>
        <w:r w:rsidR="005E05D4">
          <w:rPr>
            <w:noProof/>
            <w:webHidden/>
          </w:rPr>
          <w:fldChar w:fldCharType="begin"/>
        </w:r>
        <w:r w:rsidR="005E05D4">
          <w:rPr>
            <w:noProof/>
            <w:webHidden/>
          </w:rPr>
          <w:instrText xml:space="preserve"> PAGEREF _Toc149811897 \h </w:instrText>
        </w:r>
        <w:r w:rsidR="005E05D4">
          <w:rPr>
            <w:noProof/>
            <w:webHidden/>
          </w:rPr>
        </w:r>
        <w:r w:rsidR="005E05D4">
          <w:rPr>
            <w:noProof/>
            <w:webHidden/>
          </w:rPr>
          <w:fldChar w:fldCharType="separate"/>
        </w:r>
        <w:r w:rsidR="005E05D4">
          <w:rPr>
            <w:noProof/>
            <w:webHidden/>
          </w:rPr>
          <w:t>3</w:t>
        </w:r>
        <w:r w:rsidR="005E05D4">
          <w:rPr>
            <w:noProof/>
            <w:webHidden/>
          </w:rPr>
          <w:fldChar w:fldCharType="end"/>
        </w:r>
      </w:hyperlink>
    </w:p>
    <w:p w:rsidR="005E05D4" w:rsidRDefault="00CA78B7">
      <w:pPr>
        <w:pStyle w:val="TOC1"/>
        <w:tabs>
          <w:tab w:val="right" w:leader="dot" w:pos="9060"/>
        </w:tabs>
        <w:rPr>
          <w:rFonts w:asciiTheme="minorHAnsi" w:hAnsiTheme="minorHAnsi" w:cstheme="minorBidi"/>
          <w:noProof/>
          <w:color w:val="auto"/>
          <w:lang w:val="en-GB" w:eastAsia="en-GB"/>
        </w:rPr>
      </w:pPr>
      <w:hyperlink w:anchor="_Toc149811898" w:history="1">
        <w:r w:rsidR="005E05D4" w:rsidRPr="00E3345A">
          <w:rPr>
            <w:rStyle w:val="Hyperlink"/>
            <w:noProof/>
          </w:rPr>
          <w:t>Learning from Complaints (LFC)</w:t>
        </w:r>
        <w:r w:rsidR="005E05D4">
          <w:rPr>
            <w:noProof/>
            <w:webHidden/>
          </w:rPr>
          <w:tab/>
        </w:r>
        <w:r w:rsidR="005E05D4">
          <w:rPr>
            <w:noProof/>
            <w:webHidden/>
          </w:rPr>
          <w:fldChar w:fldCharType="begin"/>
        </w:r>
        <w:r w:rsidR="005E05D4">
          <w:rPr>
            <w:noProof/>
            <w:webHidden/>
          </w:rPr>
          <w:instrText xml:space="preserve"> PAGEREF _Toc149811898 \h </w:instrText>
        </w:r>
        <w:r w:rsidR="005E05D4">
          <w:rPr>
            <w:noProof/>
            <w:webHidden/>
          </w:rPr>
        </w:r>
        <w:r w:rsidR="005E05D4">
          <w:rPr>
            <w:noProof/>
            <w:webHidden/>
          </w:rPr>
          <w:fldChar w:fldCharType="separate"/>
        </w:r>
        <w:r w:rsidR="005E05D4">
          <w:rPr>
            <w:noProof/>
            <w:webHidden/>
          </w:rPr>
          <w:t>4</w:t>
        </w:r>
        <w:r w:rsidR="005E05D4">
          <w:rPr>
            <w:noProof/>
            <w:webHidden/>
          </w:rPr>
          <w:fldChar w:fldCharType="end"/>
        </w:r>
      </w:hyperlink>
    </w:p>
    <w:p w:rsidR="005E05D4" w:rsidRDefault="00CA78B7">
      <w:pPr>
        <w:pStyle w:val="TOC1"/>
        <w:tabs>
          <w:tab w:val="right" w:leader="dot" w:pos="9060"/>
        </w:tabs>
        <w:rPr>
          <w:rFonts w:asciiTheme="minorHAnsi" w:hAnsiTheme="minorHAnsi" w:cstheme="minorBidi"/>
          <w:noProof/>
          <w:color w:val="auto"/>
          <w:lang w:val="en-GB" w:eastAsia="en-GB"/>
        </w:rPr>
      </w:pPr>
      <w:hyperlink w:anchor="_Toc149811899" w:history="1">
        <w:r w:rsidR="005E05D4" w:rsidRPr="00E3345A">
          <w:rPr>
            <w:rStyle w:val="Hyperlink"/>
            <w:noProof/>
          </w:rPr>
          <w:t>Customer satisfaction with the complaints process</w:t>
        </w:r>
        <w:r w:rsidR="005E05D4">
          <w:rPr>
            <w:noProof/>
            <w:webHidden/>
          </w:rPr>
          <w:tab/>
        </w:r>
        <w:r w:rsidR="005E05D4">
          <w:rPr>
            <w:noProof/>
            <w:webHidden/>
          </w:rPr>
          <w:fldChar w:fldCharType="begin"/>
        </w:r>
        <w:r w:rsidR="005E05D4">
          <w:rPr>
            <w:noProof/>
            <w:webHidden/>
          </w:rPr>
          <w:instrText xml:space="preserve"> PAGEREF _Toc149811899 \h </w:instrText>
        </w:r>
        <w:r w:rsidR="005E05D4">
          <w:rPr>
            <w:noProof/>
            <w:webHidden/>
          </w:rPr>
        </w:r>
        <w:r w:rsidR="005E05D4">
          <w:rPr>
            <w:noProof/>
            <w:webHidden/>
          </w:rPr>
          <w:fldChar w:fldCharType="separate"/>
        </w:r>
        <w:r w:rsidR="005E05D4">
          <w:rPr>
            <w:noProof/>
            <w:webHidden/>
          </w:rPr>
          <w:t>4</w:t>
        </w:r>
        <w:r w:rsidR="005E05D4">
          <w:rPr>
            <w:noProof/>
            <w:webHidden/>
          </w:rPr>
          <w:fldChar w:fldCharType="end"/>
        </w:r>
      </w:hyperlink>
    </w:p>
    <w:p w:rsidR="005E05D4" w:rsidRDefault="00CA78B7">
      <w:pPr>
        <w:pStyle w:val="TOC1"/>
        <w:tabs>
          <w:tab w:val="right" w:leader="dot" w:pos="9060"/>
        </w:tabs>
        <w:rPr>
          <w:rFonts w:asciiTheme="minorHAnsi" w:hAnsiTheme="minorHAnsi" w:cstheme="minorBidi"/>
          <w:noProof/>
          <w:color w:val="auto"/>
          <w:lang w:val="en-GB" w:eastAsia="en-GB"/>
        </w:rPr>
      </w:pPr>
      <w:hyperlink w:anchor="_Toc149811900" w:history="1">
        <w:r w:rsidR="005E05D4" w:rsidRPr="00E3345A">
          <w:rPr>
            <w:rStyle w:val="Hyperlink"/>
            <w:noProof/>
          </w:rPr>
          <w:t>Compliments</w:t>
        </w:r>
        <w:r w:rsidR="005E05D4">
          <w:rPr>
            <w:noProof/>
            <w:webHidden/>
          </w:rPr>
          <w:tab/>
        </w:r>
        <w:r w:rsidR="005E05D4">
          <w:rPr>
            <w:noProof/>
            <w:webHidden/>
          </w:rPr>
          <w:fldChar w:fldCharType="begin"/>
        </w:r>
        <w:r w:rsidR="005E05D4">
          <w:rPr>
            <w:noProof/>
            <w:webHidden/>
          </w:rPr>
          <w:instrText xml:space="preserve"> PAGEREF _Toc149811900 \h </w:instrText>
        </w:r>
        <w:r w:rsidR="005E05D4">
          <w:rPr>
            <w:noProof/>
            <w:webHidden/>
          </w:rPr>
        </w:r>
        <w:r w:rsidR="005E05D4">
          <w:rPr>
            <w:noProof/>
            <w:webHidden/>
          </w:rPr>
          <w:fldChar w:fldCharType="separate"/>
        </w:r>
        <w:r w:rsidR="005E05D4">
          <w:rPr>
            <w:noProof/>
            <w:webHidden/>
          </w:rPr>
          <w:t>4</w:t>
        </w:r>
        <w:r w:rsidR="005E05D4">
          <w:rPr>
            <w:noProof/>
            <w:webHidden/>
          </w:rPr>
          <w:fldChar w:fldCharType="end"/>
        </w:r>
      </w:hyperlink>
    </w:p>
    <w:p w:rsidR="00F15CF9" w:rsidRDefault="003C2605" w:rsidP="003C2605">
      <w:pPr>
        <w:pStyle w:val="TOC3"/>
      </w:pPr>
      <w:r>
        <w:fldChar w:fldCharType="end"/>
      </w:r>
    </w:p>
    <w:p w:rsidR="004E3F36" w:rsidRPr="004E3F36" w:rsidRDefault="003C2605" w:rsidP="00620CF7">
      <w:pPr>
        <w:pStyle w:val="Heading1"/>
      </w:pPr>
      <w:r>
        <w:br w:type="page"/>
      </w:r>
    </w:p>
    <w:p w:rsidR="0086454C" w:rsidRDefault="0086454C" w:rsidP="002F0137">
      <w:pPr>
        <w:rPr>
          <w:rFonts w:cs="Arial"/>
        </w:rPr>
      </w:pPr>
    </w:p>
    <w:p w:rsidR="00620CF7" w:rsidRPr="00C1386A" w:rsidRDefault="00620CF7" w:rsidP="00620CF7">
      <w:pPr>
        <w:pStyle w:val="Heading1"/>
        <w:rPr>
          <w:color w:val="ED7D31" w:themeColor="accent2"/>
        </w:rPr>
      </w:pPr>
      <w:bookmarkStart w:id="0" w:name="_Toc149811894"/>
      <w:r w:rsidRPr="00C1386A">
        <w:rPr>
          <w:color w:val="ED7D31" w:themeColor="accent2"/>
        </w:rPr>
        <w:t>Indicator 1:  Total number of complaints received at Stages 1 &amp; 2</w:t>
      </w:r>
      <w:bookmarkEnd w:id="0"/>
    </w:p>
    <w:p w:rsidR="00620CF7" w:rsidRDefault="00620CF7" w:rsidP="00620CF7">
      <w:pPr>
        <w:rPr>
          <w:b/>
        </w:rPr>
      </w:pPr>
    </w:p>
    <w:tbl>
      <w:tblPr>
        <w:tblW w:w="9120" w:type="dxa"/>
        <w:tblLook w:val="04A0" w:firstRow="1" w:lastRow="0" w:firstColumn="1" w:lastColumn="0" w:noHBand="0" w:noVBand="1"/>
      </w:tblPr>
      <w:tblGrid>
        <w:gridCol w:w="2580"/>
        <w:gridCol w:w="3440"/>
        <w:gridCol w:w="3100"/>
      </w:tblGrid>
      <w:tr w:rsidR="00620CF7" w:rsidRPr="00BE3D45" w:rsidTr="00380F73">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CF7" w:rsidRPr="00BE3D45" w:rsidRDefault="00620CF7" w:rsidP="00380F73">
            <w:pPr>
              <w:rPr>
                <w:b/>
                <w:lang w:eastAsia="en-GB"/>
              </w:rPr>
            </w:pPr>
            <w:r>
              <w:rPr>
                <w:b/>
                <w:lang w:eastAsia="en-GB"/>
              </w:rPr>
              <w:t>Quarter</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620CF7" w:rsidRPr="00BE3D45" w:rsidRDefault="00A2791A" w:rsidP="00380F73">
            <w:pPr>
              <w:rPr>
                <w:b/>
                <w:lang w:eastAsia="en-GB"/>
              </w:rPr>
            </w:pPr>
            <w:r>
              <w:rPr>
                <w:b/>
                <w:lang w:eastAsia="en-GB"/>
              </w:rPr>
              <w:t xml:space="preserve">Stage </w:t>
            </w:r>
            <w:r w:rsidR="00620CF7" w:rsidRPr="00BE3D45">
              <w:rPr>
                <w:b/>
                <w:lang w:eastAsia="en-GB"/>
              </w:rPr>
              <w:t xml:space="preserve">1 Complaints </w:t>
            </w:r>
            <w:r w:rsidR="00620CF7">
              <w:rPr>
                <w:b/>
                <w:lang w:eastAsia="en-GB"/>
              </w:rPr>
              <w:t>(includes escalated complaints</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620CF7" w:rsidRPr="00BE3D45" w:rsidRDefault="00A2791A" w:rsidP="00380F73">
            <w:pPr>
              <w:rPr>
                <w:b/>
                <w:lang w:eastAsia="en-GB"/>
              </w:rPr>
            </w:pPr>
            <w:r>
              <w:rPr>
                <w:b/>
                <w:lang w:eastAsia="en-GB"/>
              </w:rPr>
              <w:t>Stage</w:t>
            </w:r>
            <w:r w:rsidR="00620CF7" w:rsidRPr="00BE3D45">
              <w:rPr>
                <w:b/>
                <w:lang w:eastAsia="en-GB"/>
              </w:rPr>
              <w:t xml:space="preserve"> 2 Complaints </w:t>
            </w:r>
          </w:p>
        </w:tc>
      </w:tr>
      <w:tr w:rsidR="00620CF7" w:rsidRPr="00A00D9B" w:rsidTr="00E7327F">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20CF7" w:rsidRPr="00C1386A" w:rsidRDefault="00CA78B7" w:rsidP="00380F73">
            <w:pPr>
              <w:rPr>
                <w:color w:val="2F5496" w:themeColor="accent1" w:themeShade="BF"/>
                <w:lang w:eastAsia="en-GB"/>
              </w:rPr>
            </w:pPr>
            <w:r>
              <w:rPr>
                <w:color w:val="2F5496" w:themeColor="accent1" w:themeShade="BF"/>
                <w:lang w:eastAsia="en-GB"/>
              </w:rPr>
              <w:t>November 2023</w:t>
            </w:r>
            <w:r w:rsidR="00620CF7" w:rsidRPr="00C1386A">
              <w:rPr>
                <w:color w:val="2F5496" w:themeColor="accent1" w:themeShade="BF"/>
                <w:lang w:eastAsia="en-GB"/>
              </w:rPr>
              <w:t xml:space="preserve">– </w:t>
            </w:r>
            <w:r>
              <w:rPr>
                <w:color w:val="2F5496" w:themeColor="accent1" w:themeShade="BF"/>
                <w:lang w:eastAsia="en-GB"/>
              </w:rPr>
              <w:t xml:space="preserve">January </w:t>
            </w:r>
            <w:r w:rsidR="00620CF7" w:rsidRPr="00C1386A">
              <w:rPr>
                <w:color w:val="2F5496" w:themeColor="accent1" w:themeShade="BF"/>
                <w:lang w:eastAsia="en-GB"/>
              </w:rPr>
              <w:t>202</w:t>
            </w:r>
            <w:r>
              <w:rPr>
                <w:color w:val="2F5496" w:themeColor="accent1" w:themeShade="BF"/>
                <w:lang w:eastAsia="en-GB"/>
              </w:rPr>
              <w:t>4</w:t>
            </w:r>
          </w:p>
        </w:tc>
        <w:tc>
          <w:tcPr>
            <w:tcW w:w="3440" w:type="dxa"/>
            <w:tcBorders>
              <w:top w:val="nil"/>
              <w:left w:val="nil"/>
              <w:bottom w:val="single" w:sz="4" w:space="0" w:color="auto"/>
              <w:right w:val="single" w:sz="4" w:space="0" w:color="auto"/>
            </w:tcBorders>
            <w:shd w:val="clear" w:color="auto" w:fill="auto"/>
            <w:noWrap/>
            <w:vAlign w:val="bottom"/>
          </w:tcPr>
          <w:p w:rsidR="00620CF7" w:rsidRPr="00C1386A" w:rsidRDefault="00A2791A" w:rsidP="00380F73">
            <w:pPr>
              <w:jc w:val="center"/>
              <w:rPr>
                <w:color w:val="2F5496" w:themeColor="accent1" w:themeShade="BF"/>
                <w:lang w:eastAsia="en-GB"/>
              </w:rPr>
            </w:pPr>
            <w:r w:rsidRPr="00C1386A">
              <w:rPr>
                <w:color w:val="2F5496" w:themeColor="accent1" w:themeShade="BF"/>
                <w:lang w:eastAsia="en-GB"/>
              </w:rPr>
              <w:t>30</w:t>
            </w:r>
            <w:r w:rsidR="000959B8" w:rsidRPr="00C1386A">
              <w:rPr>
                <w:color w:val="2F5496" w:themeColor="accent1" w:themeShade="BF"/>
                <w:lang w:eastAsia="en-GB"/>
              </w:rPr>
              <w:t xml:space="preserve"> (</w:t>
            </w:r>
            <w:r w:rsidR="009C0887" w:rsidRPr="00C1386A">
              <w:rPr>
                <w:color w:val="2F5496" w:themeColor="accent1" w:themeShade="BF"/>
                <w:lang w:eastAsia="en-GB"/>
              </w:rPr>
              <w:t>7</w:t>
            </w:r>
            <w:r w:rsidR="000959B8" w:rsidRPr="00C1386A">
              <w:rPr>
                <w:color w:val="2F5496" w:themeColor="accent1" w:themeShade="BF"/>
                <w:lang w:eastAsia="en-GB"/>
              </w:rPr>
              <w:t xml:space="preserve"> escalated</w:t>
            </w:r>
            <w:r w:rsidRPr="00C1386A">
              <w:rPr>
                <w:color w:val="2F5496" w:themeColor="accent1" w:themeShade="BF"/>
                <w:lang w:eastAsia="en-GB"/>
              </w:rPr>
              <w:t xml:space="preserve"> to Stage 2</w:t>
            </w:r>
            <w:r w:rsidR="000959B8" w:rsidRPr="00C1386A">
              <w:rPr>
                <w:color w:val="2F5496" w:themeColor="accent1" w:themeShade="BF"/>
                <w:lang w:eastAsia="en-GB"/>
              </w:rPr>
              <w:t>)</w:t>
            </w:r>
          </w:p>
        </w:tc>
        <w:tc>
          <w:tcPr>
            <w:tcW w:w="3100" w:type="dxa"/>
            <w:tcBorders>
              <w:top w:val="nil"/>
              <w:left w:val="nil"/>
              <w:bottom w:val="single" w:sz="4" w:space="0" w:color="auto"/>
              <w:right w:val="single" w:sz="4" w:space="0" w:color="auto"/>
            </w:tcBorders>
            <w:shd w:val="clear" w:color="auto" w:fill="auto"/>
            <w:noWrap/>
            <w:vAlign w:val="bottom"/>
          </w:tcPr>
          <w:p w:rsidR="00620CF7" w:rsidRPr="00C1386A" w:rsidRDefault="00A2791A" w:rsidP="00380F73">
            <w:pPr>
              <w:jc w:val="center"/>
              <w:rPr>
                <w:color w:val="2F5496" w:themeColor="accent1" w:themeShade="BF"/>
                <w:lang w:eastAsia="en-GB"/>
              </w:rPr>
            </w:pPr>
            <w:r w:rsidRPr="00C1386A">
              <w:rPr>
                <w:color w:val="2F5496" w:themeColor="accent1" w:themeShade="BF"/>
                <w:lang w:eastAsia="en-GB"/>
              </w:rPr>
              <w:t>4</w:t>
            </w:r>
          </w:p>
        </w:tc>
      </w:tr>
    </w:tbl>
    <w:p w:rsidR="00620CF7" w:rsidRPr="00267AE5" w:rsidRDefault="00620CF7" w:rsidP="00620CF7">
      <w:bookmarkStart w:id="1" w:name="_GoBack"/>
      <w:bookmarkEnd w:id="1"/>
    </w:p>
    <w:p w:rsidR="00620CF7" w:rsidRDefault="00620CF7" w:rsidP="00620CF7">
      <w:pPr>
        <w:rPr>
          <w:b/>
        </w:rPr>
      </w:pPr>
    </w:p>
    <w:p w:rsidR="00620CF7" w:rsidRPr="00C1386A" w:rsidRDefault="00620CF7" w:rsidP="00620CF7">
      <w:pPr>
        <w:pStyle w:val="Heading1"/>
        <w:rPr>
          <w:color w:val="ED7D31" w:themeColor="accent2"/>
        </w:rPr>
      </w:pPr>
      <w:bookmarkStart w:id="2" w:name="_Toc149811895"/>
      <w:r w:rsidRPr="00C1386A">
        <w:rPr>
          <w:color w:val="ED7D31" w:themeColor="accent2"/>
        </w:rPr>
        <w:t>Indicator 2:  The number and percentage of complaints at each stage which were closed within the set timescales of 5 &amp; 20 working days</w:t>
      </w:r>
      <w:bookmarkEnd w:id="2"/>
    </w:p>
    <w:p w:rsidR="00620CF7" w:rsidRDefault="00620CF7" w:rsidP="00620CF7">
      <w:pPr>
        <w:rPr>
          <w:b/>
        </w:rPr>
      </w:pPr>
    </w:p>
    <w:p w:rsidR="00620CF7" w:rsidRPr="00C1386A" w:rsidRDefault="00620CF7" w:rsidP="00620CF7">
      <w:pPr>
        <w:rPr>
          <w:color w:val="2F5496" w:themeColor="accent1" w:themeShade="BF"/>
        </w:rPr>
      </w:pPr>
      <w:r w:rsidRPr="00C1386A">
        <w:rPr>
          <w:rFonts w:cs="Arial"/>
          <w:b/>
          <w:color w:val="2F5496" w:themeColor="accent1" w:themeShade="BF"/>
        </w:rPr>
        <w:t xml:space="preserve">Stage 1 closed within 5 working days: </w:t>
      </w:r>
      <w:r w:rsidR="00B561EB">
        <w:rPr>
          <w:color w:val="2F5496" w:themeColor="accent1" w:themeShade="BF"/>
        </w:rPr>
        <w:t>20</w:t>
      </w:r>
      <w:r w:rsidR="000959B8" w:rsidRPr="00C1386A">
        <w:rPr>
          <w:color w:val="2F5496" w:themeColor="accent1" w:themeShade="BF"/>
        </w:rPr>
        <w:t xml:space="preserve"> out of </w:t>
      </w:r>
      <w:r w:rsidR="00A2791A" w:rsidRPr="00C1386A">
        <w:rPr>
          <w:color w:val="2F5496" w:themeColor="accent1" w:themeShade="BF"/>
        </w:rPr>
        <w:t>23</w:t>
      </w:r>
      <w:r w:rsidR="000959B8" w:rsidRPr="00C1386A">
        <w:rPr>
          <w:color w:val="2F5496" w:themeColor="accent1" w:themeShade="BF"/>
        </w:rPr>
        <w:t xml:space="preserve"> closed complaints</w:t>
      </w:r>
      <w:r w:rsidR="00A2791A" w:rsidRPr="00C1386A">
        <w:rPr>
          <w:color w:val="2F5496" w:themeColor="accent1" w:themeShade="BF"/>
        </w:rPr>
        <w:t xml:space="preserve"> - 8</w:t>
      </w:r>
      <w:r w:rsidR="00B561EB">
        <w:rPr>
          <w:color w:val="2F5496" w:themeColor="accent1" w:themeShade="BF"/>
        </w:rPr>
        <w:t>7</w:t>
      </w:r>
      <w:r w:rsidR="000959B8" w:rsidRPr="00C1386A">
        <w:rPr>
          <w:color w:val="2F5496" w:themeColor="accent1" w:themeShade="BF"/>
        </w:rPr>
        <w:t>%</w:t>
      </w:r>
    </w:p>
    <w:p w:rsidR="00620CF7" w:rsidRPr="00C1386A" w:rsidRDefault="00620CF7" w:rsidP="000959B8">
      <w:pPr>
        <w:spacing w:before="180"/>
        <w:rPr>
          <w:color w:val="2F5496" w:themeColor="accent1" w:themeShade="BF"/>
        </w:rPr>
      </w:pPr>
      <w:r w:rsidRPr="00C1386A">
        <w:rPr>
          <w:rFonts w:cs="Arial"/>
          <w:b/>
          <w:color w:val="2F5496" w:themeColor="accent1" w:themeShade="BF"/>
        </w:rPr>
        <w:t>Stage 2 closed within 20 working days</w:t>
      </w:r>
      <w:r w:rsidRPr="00C1386A">
        <w:rPr>
          <w:rFonts w:cs="Arial"/>
          <w:color w:val="2F5496" w:themeColor="accent1" w:themeShade="BF"/>
        </w:rPr>
        <w:t xml:space="preserve">: </w:t>
      </w:r>
      <w:r w:rsidR="00B561EB">
        <w:rPr>
          <w:color w:val="2F5496" w:themeColor="accent1" w:themeShade="BF"/>
        </w:rPr>
        <w:t>2</w:t>
      </w:r>
      <w:r w:rsidR="000959B8" w:rsidRPr="00C1386A">
        <w:rPr>
          <w:color w:val="2F5496" w:themeColor="accent1" w:themeShade="BF"/>
        </w:rPr>
        <w:t xml:space="preserve"> out of </w:t>
      </w:r>
      <w:r w:rsidR="00A2791A" w:rsidRPr="00C1386A">
        <w:rPr>
          <w:color w:val="2F5496" w:themeColor="accent1" w:themeShade="BF"/>
        </w:rPr>
        <w:t>4</w:t>
      </w:r>
      <w:r w:rsidR="000959B8" w:rsidRPr="00C1386A">
        <w:rPr>
          <w:color w:val="2F5496" w:themeColor="accent1" w:themeShade="BF"/>
        </w:rPr>
        <w:t xml:space="preserve"> closed complaints</w:t>
      </w:r>
      <w:r w:rsidR="004B5078">
        <w:rPr>
          <w:color w:val="2F5496" w:themeColor="accent1" w:themeShade="BF"/>
        </w:rPr>
        <w:t xml:space="preserve"> -</w:t>
      </w:r>
      <w:r w:rsidR="00B561EB">
        <w:rPr>
          <w:color w:val="2F5496" w:themeColor="accent1" w:themeShade="BF"/>
        </w:rPr>
        <w:t xml:space="preserve"> </w:t>
      </w:r>
      <w:r w:rsidR="00A72E0F">
        <w:rPr>
          <w:color w:val="2F5496" w:themeColor="accent1" w:themeShade="BF"/>
        </w:rPr>
        <w:t>50</w:t>
      </w:r>
      <w:r w:rsidR="00B561EB">
        <w:rPr>
          <w:color w:val="2F5496" w:themeColor="accent1" w:themeShade="BF"/>
        </w:rPr>
        <w:t>%</w:t>
      </w:r>
      <w:r w:rsidR="000959B8" w:rsidRPr="00C1386A">
        <w:rPr>
          <w:color w:val="2F5496" w:themeColor="accent1" w:themeShade="BF"/>
        </w:rPr>
        <w:t xml:space="preserve"> </w:t>
      </w:r>
      <w:r w:rsidR="00A2791A" w:rsidRPr="00C1386A">
        <w:rPr>
          <w:color w:val="2F5496" w:themeColor="accent1" w:themeShade="BF"/>
        </w:rPr>
        <w:t>(</w:t>
      </w:r>
      <w:r w:rsidR="00B561EB">
        <w:rPr>
          <w:color w:val="2F5496" w:themeColor="accent1" w:themeShade="BF"/>
        </w:rPr>
        <w:t>2</w:t>
      </w:r>
      <w:r w:rsidR="00A2791A" w:rsidRPr="00C1386A">
        <w:rPr>
          <w:color w:val="2F5496" w:themeColor="accent1" w:themeShade="BF"/>
        </w:rPr>
        <w:t xml:space="preserve"> remain open @ </w:t>
      </w:r>
      <w:r w:rsidR="00A72E0F">
        <w:rPr>
          <w:color w:val="2F5496" w:themeColor="accent1" w:themeShade="BF"/>
        </w:rPr>
        <w:t>20</w:t>
      </w:r>
      <w:r w:rsidR="00A2791A" w:rsidRPr="00C1386A">
        <w:rPr>
          <w:color w:val="2F5496" w:themeColor="accent1" w:themeShade="BF"/>
        </w:rPr>
        <w:t>/2/24)</w:t>
      </w:r>
    </w:p>
    <w:p w:rsidR="000959B8" w:rsidRPr="00C1386A" w:rsidRDefault="00620CF7" w:rsidP="000959B8">
      <w:pPr>
        <w:spacing w:before="180"/>
        <w:rPr>
          <w:color w:val="2F5496" w:themeColor="accent1" w:themeShade="BF"/>
        </w:rPr>
      </w:pPr>
      <w:r w:rsidRPr="00C1386A">
        <w:rPr>
          <w:rFonts w:cs="Arial"/>
          <w:b/>
          <w:color w:val="2F5496" w:themeColor="accent1" w:themeShade="BF"/>
        </w:rPr>
        <w:t>Escalated closed within 20 working days</w:t>
      </w:r>
      <w:r w:rsidRPr="00C1386A">
        <w:rPr>
          <w:rFonts w:cs="Arial"/>
          <w:color w:val="2F5496" w:themeColor="accent1" w:themeShade="BF"/>
        </w:rPr>
        <w:t>:</w:t>
      </w:r>
      <w:r w:rsidR="000959B8" w:rsidRPr="00C1386A">
        <w:rPr>
          <w:rFonts w:cs="Arial"/>
          <w:color w:val="2F5496" w:themeColor="accent1" w:themeShade="BF"/>
        </w:rPr>
        <w:t xml:space="preserve"> </w:t>
      </w:r>
      <w:r w:rsidR="00B561EB">
        <w:rPr>
          <w:color w:val="2F5496" w:themeColor="accent1" w:themeShade="BF"/>
        </w:rPr>
        <w:t>7</w:t>
      </w:r>
      <w:r w:rsidR="000959B8" w:rsidRPr="00C1386A">
        <w:rPr>
          <w:color w:val="2F5496" w:themeColor="accent1" w:themeShade="BF"/>
        </w:rPr>
        <w:t xml:space="preserve"> out of </w:t>
      </w:r>
      <w:r w:rsidR="009C0887" w:rsidRPr="00C1386A">
        <w:rPr>
          <w:color w:val="2F5496" w:themeColor="accent1" w:themeShade="BF"/>
        </w:rPr>
        <w:t>7</w:t>
      </w:r>
      <w:r w:rsidR="000959B8" w:rsidRPr="00C1386A">
        <w:rPr>
          <w:color w:val="2F5496" w:themeColor="accent1" w:themeShade="BF"/>
        </w:rPr>
        <w:t xml:space="preserve"> closed </w:t>
      </w:r>
      <w:r w:rsidR="00A2791A" w:rsidRPr="00C1386A">
        <w:rPr>
          <w:color w:val="2F5496" w:themeColor="accent1" w:themeShade="BF"/>
        </w:rPr>
        <w:t xml:space="preserve">– </w:t>
      </w:r>
      <w:r w:rsidR="00B561EB">
        <w:rPr>
          <w:color w:val="2F5496" w:themeColor="accent1" w:themeShade="BF"/>
        </w:rPr>
        <w:t>100</w:t>
      </w:r>
      <w:r w:rsidR="00A2791A" w:rsidRPr="00C1386A">
        <w:rPr>
          <w:color w:val="2F5496" w:themeColor="accent1" w:themeShade="BF"/>
        </w:rPr>
        <w:t xml:space="preserve">%  </w:t>
      </w:r>
    </w:p>
    <w:p w:rsidR="00620CF7" w:rsidRPr="00E7327F" w:rsidRDefault="00620CF7" w:rsidP="00620CF7">
      <w:pPr>
        <w:rPr>
          <w:rFonts w:cs="Arial"/>
          <w:color w:val="1F3864" w:themeColor="accent1" w:themeShade="80"/>
        </w:rPr>
      </w:pPr>
    </w:p>
    <w:p w:rsidR="00620CF7" w:rsidRDefault="00620CF7" w:rsidP="00620CF7">
      <w:pPr>
        <w:spacing w:after="160" w:line="259" w:lineRule="auto"/>
        <w:rPr>
          <w:b/>
        </w:rPr>
      </w:pPr>
    </w:p>
    <w:p w:rsidR="00620CF7" w:rsidRPr="00C1386A" w:rsidRDefault="00620CF7" w:rsidP="00620CF7">
      <w:pPr>
        <w:pStyle w:val="Heading1"/>
        <w:rPr>
          <w:color w:val="ED7D31" w:themeColor="accent2"/>
        </w:rPr>
      </w:pPr>
      <w:bookmarkStart w:id="3" w:name="_Toc149811896"/>
      <w:r w:rsidRPr="00C1386A">
        <w:rPr>
          <w:color w:val="ED7D31" w:themeColor="accent2"/>
        </w:rPr>
        <w:t>Indicator 3: The average time in working days for a full response to complaints at each stage</w:t>
      </w:r>
      <w:bookmarkEnd w:id="3"/>
    </w:p>
    <w:p w:rsidR="00620CF7" w:rsidRPr="003B5536" w:rsidRDefault="00620CF7" w:rsidP="00620CF7"/>
    <w:p w:rsidR="00E7327F" w:rsidRPr="00C1386A" w:rsidRDefault="00E7327F" w:rsidP="00E7327F">
      <w:pPr>
        <w:rPr>
          <w:color w:val="2F5496" w:themeColor="accent1" w:themeShade="BF"/>
        </w:rPr>
      </w:pPr>
      <w:r w:rsidRPr="00C1386A">
        <w:rPr>
          <w:b/>
          <w:color w:val="2F5496" w:themeColor="accent1" w:themeShade="BF"/>
        </w:rPr>
        <w:t>Stage 1</w:t>
      </w:r>
      <w:r w:rsidRPr="00C1386A">
        <w:rPr>
          <w:color w:val="2F5496" w:themeColor="accent1" w:themeShade="BF"/>
        </w:rPr>
        <w:t>:</w:t>
      </w:r>
      <w:r w:rsidR="00A72E0F">
        <w:rPr>
          <w:color w:val="2F5496" w:themeColor="accent1" w:themeShade="BF"/>
        </w:rPr>
        <w:t xml:space="preserve"> </w:t>
      </w:r>
      <w:r w:rsidR="000959B8" w:rsidRPr="00C1386A">
        <w:rPr>
          <w:color w:val="2F5496" w:themeColor="accent1" w:themeShade="BF"/>
        </w:rPr>
        <w:t>4 working days</w:t>
      </w:r>
      <w:r w:rsidRPr="00C1386A">
        <w:rPr>
          <w:color w:val="2F5496" w:themeColor="accent1" w:themeShade="BF"/>
        </w:rPr>
        <w:t xml:space="preserve"> </w:t>
      </w:r>
    </w:p>
    <w:p w:rsidR="00E7327F" w:rsidRPr="00C1386A" w:rsidRDefault="00E7327F" w:rsidP="00E7327F">
      <w:pPr>
        <w:rPr>
          <w:color w:val="2F5496" w:themeColor="accent1" w:themeShade="BF"/>
        </w:rPr>
      </w:pPr>
      <w:r w:rsidRPr="00C1386A">
        <w:rPr>
          <w:b/>
          <w:color w:val="2F5496" w:themeColor="accent1" w:themeShade="BF"/>
        </w:rPr>
        <w:t>Stage 2</w:t>
      </w:r>
      <w:r w:rsidRPr="00C1386A">
        <w:rPr>
          <w:color w:val="2F5496" w:themeColor="accent1" w:themeShade="BF"/>
        </w:rPr>
        <w:t>:</w:t>
      </w:r>
      <w:r w:rsidR="000959B8" w:rsidRPr="00C1386A">
        <w:rPr>
          <w:color w:val="2F5496" w:themeColor="accent1" w:themeShade="BF"/>
        </w:rPr>
        <w:t xml:space="preserve"> </w:t>
      </w:r>
      <w:r w:rsidR="00B561EB">
        <w:rPr>
          <w:color w:val="2F5496" w:themeColor="accent1" w:themeShade="BF"/>
          <w:lang w:eastAsia="en-GB"/>
        </w:rPr>
        <w:t>20 working days</w:t>
      </w:r>
      <w:r w:rsidR="00A2791A" w:rsidRPr="00C1386A">
        <w:rPr>
          <w:color w:val="2F5496" w:themeColor="accent1" w:themeShade="BF"/>
          <w:lang w:eastAsia="en-GB"/>
        </w:rPr>
        <w:t xml:space="preserve"> – </w:t>
      </w:r>
      <w:r w:rsidR="00B561EB">
        <w:rPr>
          <w:color w:val="2F5496" w:themeColor="accent1" w:themeShade="BF"/>
          <w:lang w:eastAsia="en-GB"/>
        </w:rPr>
        <w:t xml:space="preserve">2 </w:t>
      </w:r>
      <w:r w:rsidR="00A2791A" w:rsidRPr="00C1386A">
        <w:rPr>
          <w:color w:val="2F5496" w:themeColor="accent1" w:themeShade="BF"/>
          <w:lang w:eastAsia="en-GB"/>
        </w:rPr>
        <w:t xml:space="preserve">Stage 2 complaints in progress @ </w:t>
      </w:r>
      <w:r w:rsidR="002C223B">
        <w:rPr>
          <w:color w:val="2F5496" w:themeColor="accent1" w:themeShade="BF"/>
          <w:lang w:eastAsia="en-GB"/>
        </w:rPr>
        <w:t>20</w:t>
      </w:r>
      <w:r w:rsidR="00A2791A" w:rsidRPr="00C1386A">
        <w:rPr>
          <w:color w:val="2F5496" w:themeColor="accent1" w:themeShade="BF"/>
          <w:lang w:eastAsia="en-GB"/>
        </w:rPr>
        <w:t>/2/24</w:t>
      </w:r>
    </w:p>
    <w:p w:rsidR="00E7327F" w:rsidRPr="00C1386A" w:rsidRDefault="00E7327F" w:rsidP="00E7327F">
      <w:pPr>
        <w:rPr>
          <w:color w:val="2F5496" w:themeColor="accent1" w:themeShade="BF"/>
        </w:rPr>
      </w:pPr>
      <w:r w:rsidRPr="00C1386A">
        <w:rPr>
          <w:b/>
          <w:color w:val="2F5496" w:themeColor="accent1" w:themeShade="BF"/>
        </w:rPr>
        <w:t>Escalated:</w:t>
      </w:r>
      <w:r w:rsidR="000959B8" w:rsidRPr="00C1386A">
        <w:rPr>
          <w:b/>
          <w:color w:val="2F5496" w:themeColor="accent1" w:themeShade="BF"/>
        </w:rPr>
        <w:t xml:space="preserve"> </w:t>
      </w:r>
      <w:r w:rsidR="000959B8" w:rsidRPr="00C1386A">
        <w:rPr>
          <w:color w:val="2F5496" w:themeColor="accent1" w:themeShade="BF"/>
          <w:lang w:eastAsia="en-GB"/>
        </w:rPr>
        <w:t>12</w:t>
      </w:r>
      <w:r w:rsidR="00A2791A" w:rsidRPr="00C1386A">
        <w:rPr>
          <w:color w:val="2F5496" w:themeColor="accent1" w:themeShade="BF"/>
          <w:lang w:eastAsia="en-GB"/>
        </w:rPr>
        <w:t xml:space="preserve"> </w:t>
      </w:r>
      <w:r w:rsidR="000959B8" w:rsidRPr="00C1386A">
        <w:rPr>
          <w:color w:val="2F5496" w:themeColor="accent1" w:themeShade="BF"/>
          <w:lang w:eastAsia="en-GB"/>
        </w:rPr>
        <w:t>working days</w:t>
      </w:r>
    </w:p>
    <w:p w:rsidR="00620CF7" w:rsidRDefault="00620CF7" w:rsidP="00620CF7">
      <w:pPr>
        <w:rPr>
          <w:b/>
        </w:rPr>
      </w:pPr>
    </w:p>
    <w:p w:rsidR="00620CF7" w:rsidRDefault="00620CF7" w:rsidP="00620CF7">
      <w:pPr>
        <w:rPr>
          <w:b/>
        </w:rPr>
      </w:pPr>
    </w:p>
    <w:p w:rsidR="00620CF7" w:rsidRPr="00C1386A" w:rsidRDefault="00620CF7" w:rsidP="00620CF7">
      <w:pPr>
        <w:pStyle w:val="Heading1"/>
        <w:rPr>
          <w:color w:val="ED7D31" w:themeColor="accent2"/>
        </w:rPr>
      </w:pPr>
      <w:bookmarkStart w:id="4" w:name="_Toc149811897"/>
      <w:r w:rsidRPr="00C1386A">
        <w:rPr>
          <w:color w:val="ED7D31" w:themeColor="accent2"/>
        </w:rPr>
        <w:t>Indicator 4:  The outcome of complaints at each stage</w:t>
      </w:r>
      <w:bookmarkEnd w:id="4"/>
    </w:p>
    <w:p w:rsidR="00620CF7" w:rsidRDefault="00620CF7" w:rsidP="00620CF7">
      <w:pPr>
        <w:rPr>
          <w:b/>
        </w:rPr>
      </w:pPr>
    </w:p>
    <w:tbl>
      <w:tblPr>
        <w:tblStyle w:val="TableGrid"/>
        <w:tblW w:w="9068" w:type="dxa"/>
        <w:tblLook w:val="04A0" w:firstRow="1" w:lastRow="0" w:firstColumn="1" w:lastColumn="0" w:noHBand="0" w:noVBand="1"/>
      </w:tblPr>
      <w:tblGrid>
        <w:gridCol w:w="2122"/>
        <w:gridCol w:w="2265"/>
        <w:gridCol w:w="2265"/>
        <w:gridCol w:w="2416"/>
      </w:tblGrid>
      <w:tr w:rsidR="00620CF7" w:rsidTr="00380F73">
        <w:tc>
          <w:tcPr>
            <w:tcW w:w="2122" w:type="dxa"/>
          </w:tcPr>
          <w:p w:rsidR="00620CF7" w:rsidRPr="00C1386A" w:rsidRDefault="00620CF7" w:rsidP="00380F73">
            <w:pPr>
              <w:rPr>
                <w:b/>
                <w:color w:val="2F5496" w:themeColor="accent1" w:themeShade="BF"/>
              </w:rPr>
            </w:pPr>
            <w:r w:rsidRPr="00C1386A">
              <w:rPr>
                <w:b/>
                <w:color w:val="2F5496" w:themeColor="accent1" w:themeShade="BF"/>
              </w:rPr>
              <w:t>Complaint Outcome</w:t>
            </w:r>
          </w:p>
        </w:tc>
        <w:tc>
          <w:tcPr>
            <w:tcW w:w="2265" w:type="dxa"/>
          </w:tcPr>
          <w:p w:rsidR="00620CF7" w:rsidRPr="00C1386A" w:rsidRDefault="00620CF7" w:rsidP="00380F73">
            <w:pPr>
              <w:rPr>
                <w:b/>
                <w:color w:val="2F5496" w:themeColor="accent1" w:themeShade="BF"/>
              </w:rPr>
            </w:pPr>
            <w:r w:rsidRPr="00C1386A">
              <w:rPr>
                <w:b/>
                <w:color w:val="2F5496" w:themeColor="accent1" w:themeShade="BF"/>
              </w:rPr>
              <w:t>Number of Stage 1 complaints and also as a % of all complaints closed at Stage 1</w:t>
            </w:r>
          </w:p>
        </w:tc>
        <w:tc>
          <w:tcPr>
            <w:tcW w:w="2265" w:type="dxa"/>
          </w:tcPr>
          <w:p w:rsidR="00620CF7" w:rsidRPr="00C1386A" w:rsidRDefault="00620CF7" w:rsidP="00380F73">
            <w:pPr>
              <w:rPr>
                <w:b/>
                <w:color w:val="2F5496" w:themeColor="accent1" w:themeShade="BF"/>
              </w:rPr>
            </w:pPr>
            <w:r w:rsidRPr="00C1386A">
              <w:rPr>
                <w:b/>
                <w:color w:val="2F5496" w:themeColor="accent1" w:themeShade="BF"/>
              </w:rPr>
              <w:t>Number of Stage 2 complaints and also as a % of all complaints closed at Stage 2</w:t>
            </w:r>
            <w:r w:rsidR="00A2791A" w:rsidRPr="00C1386A">
              <w:rPr>
                <w:b/>
                <w:color w:val="2F5496" w:themeColor="accent1" w:themeShade="BF"/>
              </w:rPr>
              <w:t xml:space="preserve"> -</w:t>
            </w:r>
            <w:r w:rsidR="00A2791A" w:rsidRPr="00C1386A">
              <w:rPr>
                <w:b/>
                <w:color w:val="2F5496" w:themeColor="accent1" w:themeShade="BF"/>
                <w:sz w:val="20"/>
                <w:szCs w:val="20"/>
              </w:rPr>
              <w:t xml:space="preserve"> </w:t>
            </w:r>
            <w:r w:rsidR="00B561EB">
              <w:rPr>
                <w:b/>
                <w:color w:val="2F5496" w:themeColor="accent1" w:themeShade="BF"/>
                <w:sz w:val="20"/>
                <w:szCs w:val="20"/>
              </w:rPr>
              <w:t>2</w:t>
            </w:r>
            <w:r w:rsidR="00A2791A" w:rsidRPr="00C1386A">
              <w:rPr>
                <w:b/>
                <w:color w:val="2F5496" w:themeColor="accent1" w:themeShade="BF"/>
                <w:sz w:val="20"/>
                <w:szCs w:val="20"/>
              </w:rPr>
              <w:t xml:space="preserve"> complaints open @ </w:t>
            </w:r>
            <w:r w:rsidR="006003E8">
              <w:rPr>
                <w:b/>
                <w:color w:val="2F5496" w:themeColor="accent1" w:themeShade="BF"/>
                <w:sz w:val="20"/>
                <w:szCs w:val="20"/>
              </w:rPr>
              <w:t>20</w:t>
            </w:r>
            <w:r w:rsidR="00A2791A" w:rsidRPr="00C1386A">
              <w:rPr>
                <w:b/>
                <w:color w:val="2F5496" w:themeColor="accent1" w:themeShade="BF"/>
                <w:sz w:val="20"/>
                <w:szCs w:val="20"/>
              </w:rPr>
              <w:t>/2/24</w:t>
            </w:r>
          </w:p>
        </w:tc>
        <w:tc>
          <w:tcPr>
            <w:tcW w:w="2416" w:type="dxa"/>
          </w:tcPr>
          <w:p w:rsidR="00620CF7" w:rsidRPr="00C1386A" w:rsidRDefault="00620CF7" w:rsidP="00380F73">
            <w:pPr>
              <w:rPr>
                <w:b/>
                <w:color w:val="2F5496" w:themeColor="accent1" w:themeShade="BF"/>
              </w:rPr>
            </w:pPr>
            <w:r w:rsidRPr="00C1386A">
              <w:rPr>
                <w:b/>
                <w:color w:val="2F5496" w:themeColor="accent1" w:themeShade="BF"/>
              </w:rPr>
              <w:t>Number of Escalated complaints and also as a % of all complaints closed after Escalation</w:t>
            </w:r>
          </w:p>
        </w:tc>
      </w:tr>
      <w:tr w:rsidR="00620CF7" w:rsidTr="00380F73">
        <w:tc>
          <w:tcPr>
            <w:tcW w:w="2122" w:type="dxa"/>
          </w:tcPr>
          <w:p w:rsidR="00620CF7" w:rsidRPr="00C1386A" w:rsidRDefault="00620CF7" w:rsidP="00380F73">
            <w:pPr>
              <w:rPr>
                <w:b/>
                <w:color w:val="2F5496" w:themeColor="accent1" w:themeShade="BF"/>
              </w:rPr>
            </w:pPr>
            <w:r w:rsidRPr="00C1386A">
              <w:rPr>
                <w:b/>
                <w:color w:val="2F5496" w:themeColor="accent1" w:themeShade="BF"/>
              </w:rPr>
              <w:t xml:space="preserve">Upheld </w:t>
            </w:r>
          </w:p>
        </w:tc>
        <w:tc>
          <w:tcPr>
            <w:tcW w:w="2265" w:type="dxa"/>
          </w:tcPr>
          <w:p w:rsidR="00620CF7" w:rsidRPr="00C1386A" w:rsidRDefault="00796DAF" w:rsidP="00380F73">
            <w:pPr>
              <w:jc w:val="center"/>
              <w:rPr>
                <w:color w:val="2F5496" w:themeColor="accent1" w:themeShade="BF"/>
              </w:rPr>
            </w:pPr>
            <w:r w:rsidRPr="00C1386A">
              <w:rPr>
                <w:color w:val="2F5496" w:themeColor="accent1" w:themeShade="BF"/>
              </w:rPr>
              <w:t>1 (</w:t>
            </w:r>
            <w:r w:rsidR="00A2791A" w:rsidRPr="00C1386A">
              <w:rPr>
                <w:color w:val="2F5496" w:themeColor="accent1" w:themeShade="BF"/>
              </w:rPr>
              <w:t>4</w:t>
            </w:r>
            <w:r w:rsidRPr="00C1386A">
              <w:rPr>
                <w:color w:val="2F5496" w:themeColor="accent1" w:themeShade="BF"/>
              </w:rPr>
              <w:t>%)</w:t>
            </w:r>
          </w:p>
        </w:tc>
        <w:tc>
          <w:tcPr>
            <w:tcW w:w="2265" w:type="dxa"/>
          </w:tcPr>
          <w:p w:rsidR="00620CF7" w:rsidRPr="00C1386A" w:rsidRDefault="00B561EB" w:rsidP="00380F73">
            <w:pPr>
              <w:jc w:val="center"/>
              <w:rPr>
                <w:color w:val="2F5496" w:themeColor="accent1" w:themeShade="BF"/>
              </w:rPr>
            </w:pPr>
            <w:r>
              <w:rPr>
                <w:color w:val="2F5496" w:themeColor="accent1" w:themeShade="BF"/>
              </w:rPr>
              <w:t>1 (50%)</w:t>
            </w:r>
          </w:p>
        </w:tc>
        <w:tc>
          <w:tcPr>
            <w:tcW w:w="2416" w:type="dxa"/>
          </w:tcPr>
          <w:p w:rsidR="00620CF7" w:rsidRPr="00C1386A" w:rsidRDefault="00A2791A" w:rsidP="00380F73">
            <w:pPr>
              <w:jc w:val="center"/>
              <w:rPr>
                <w:color w:val="2F5496" w:themeColor="accent1" w:themeShade="BF"/>
              </w:rPr>
            </w:pPr>
            <w:r w:rsidRPr="00C1386A">
              <w:rPr>
                <w:color w:val="2F5496" w:themeColor="accent1" w:themeShade="BF"/>
              </w:rPr>
              <w:t>1 (</w:t>
            </w:r>
            <w:r w:rsidR="00B561EB">
              <w:rPr>
                <w:color w:val="2F5496" w:themeColor="accent1" w:themeShade="BF"/>
              </w:rPr>
              <w:t>1</w:t>
            </w:r>
            <w:r w:rsidRPr="00C1386A">
              <w:rPr>
                <w:color w:val="2F5496" w:themeColor="accent1" w:themeShade="BF"/>
              </w:rPr>
              <w:t>5%)</w:t>
            </w:r>
          </w:p>
        </w:tc>
      </w:tr>
      <w:tr w:rsidR="00620CF7" w:rsidTr="00380F73">
        <w:tc>
          <w:tcPr>
            <w:tcW w:w="2122" w:type="dxa"/>
          </w:tcPr>
          <w:p w:rsidR="00620CF7" w:rsidRPr="00C1386A" w:rsidRDefault="00620CF7" w:rsidP="00380F73">
            <w:pPr>
              <w:rPr>
                <w:b/>
                <w:color w:val="2F5496" w:themeColor="accent1" w:themeShade="BF"/>
              </w:rPr>
            </w:pPr>
            <w:r w:rsidRPr="00C1386A">
              <w:rPr>
                <w:b/>
                <w:color w:val="2F5496" w:themeColor="accent1" w:themeShade="BF"/>
              </w:rPr>
              <w:t>Partially upheld</w:t>
            </w:r>
          </w:p>
        </w:tc>
        <w:tc>
          <w:tcPr>
            <w:tcW w:w="2265" w:type="dxa"/>
          </w:tcPr>
          <w:p w:rsidR="00620CF7" w:rsidRPr="00C1386A" w:rsidRDefault="00796DAF" w:rsidP="00380F73">
            <w:pPr>
              <w:jc w:val="center"/>
              <w:rPr>
                <w:color w:val="2F5496" w:themeColor="accent1" w:themeShade="BF"/>
              </w:rPr>
            </w:pPr>
            <w:r w:rsidRPr="00C1386A">
              <w:rPr>
                <w:color w:val="2F5496" w:themeColor="accent1" w:themeShade="BF"/>
              </w:rPr>
              <w:t>2 (</w:t>
            </w:r>
            <w:r w:rsidR="00A2791A" w:rsidRPr="00C1386A">
              <w:rPr>
                <w:color w:val="2F5496" w:themeColor="accent1" w:themeShade="BF"/>
              </w:rPr>
              <w:t>9</w:t>
            </w:r>
            <w:r w:rsidRPr="00C1386A">
              <w:rPr>
                <w:color w:val="2F5496" w:themeColor="accent1" w:themeShade="BF"/>
              </w:rPr>
              <w:t>%)</w:t>
            </w:r>
          </w:p>
        </w:tc>
        <w:tc>
          <w:tcPr>
            <w:tcW w:w="2265" w:type="dxa"/>
          </w:tcPr>
          <w:p w:rsidR="00620CF7" w:rsidRPr="00C1386A" w:rsidRDefault="00A2791A" w:rsidP="00380F73">
            <w:pPr>
              <w:jc w:val="center"/>
              <w:rPr>
                <w:color w:val="2F5496" w:themeColor="accent1" w:themeShade="BF"/>
              </w:rPr>
            </w:pPr>
            <w:r w:rsidRPr="00C1386A">
              <w:rPr>
                <w:color w:val="2F5496" w:themeColor="accent1" w:themeShade="BF"/>
              </w:rPr>
              <w:t>0</w:t>
            </w:r>
          </w:p>
        </w:tc>
        <w:tc>
          <w:tcPr>
            <w:tcW w:w="2416" w:type="dxa"/>
          </w:tcPr>
          <w:p w:rsidR="00620CF7" w:rsidRPr="00C1386A" w:rsidRDefault="00A2791A" w:rsidP="00380F73">
            <w:pPr>
              <w:jc w:val="center"/>
              <w:rPr>
                <w:color w:val="2F5496" w:themeColor="accent1" w:themeShade="BF"/>
              </w:rPr>
            </w:pPr>
            <w:r w:rsidRPr="00C1386A">
              <w:rPr>
                <w:color w:val="2F5496" w:themeColor="accent1" w:themeShade="BF"/>
              </w:rPr>
              <w:t>0</w:t>
            </w:r>
          </w:p>
        </w:tc>
      </w:tr>
      <w:tr w:rsidR="00620CF7" w:rsidTr="00380F73">
        <w:tc>
          <w:tcPr>
            <w:tcW w:w="2122" w:type="dxa"/>
          </w:tcPr>
          <w:p w:rsidR="00620CF7" w:rsidRPr="00C1386A" w:rsidRDefault="00620CF7" w:rsidP="00380F73">
            <w:pPr>
              <w:rPr>
                <w:b/>
                <w:color w:val="2F5496" w:themeColor="accent1" w:themeShade="BF"/>
              </w:rPr>
            </w:pPr>
            <w:r w:rsidRPr="00C1386A">
              <w:rPr>
                <w:b/>
                <w:color w:val="2F5496" w:themeColor="accent1" w:themeShade="BF"/>
              </w:rPr>
              <w:t>Not upheld</w:t>
            </w:r>
          </w:p>
        </w:tc>
        <w:tc>
          <w:tcPr>
            <w:tcW w:w="2265" w:type="dxa"/>
          </w:tcPr>
          <w:p w:rsidR="00620CF7" w:rsidRPr="00C1386A" w:rsidRDefault="00A2791A" w:rsidP="00380F73">
            <w:pPr>
              <w:jc w:val="center"/>
              <w:rPr>
                <w:color w:val="2F5496" w:themeColor="accent1" w:themeShade="BF"/>
              </w:rPr>
            </w:pPr>
            <w:r w:rsidRPr="00C1386A">
              <w:rPr>
                <w:color w:val="2F5496" w:themeColor="accent1" w:themeShade="BF"/>
              </w:rPr>
              <w:t>5</w:t>
            </w:r>
            <w:r w:rsidR="00796DAF" w:rsidRPr="00C1386A">
              <w:rPr>
                <w:color w:val="2F5496" w:themeColor="accent1" w:themeShade="BF"/>
              </w:rPr>
              <w:t xml:space="preserve"> (</w:t>
            </w:r>
            <w:r w:rsidRPr="00C1386A">
              <w:rPr>
                <w:color w:val="2F5496" w:themeColor="accent1" w:themeShade="BF"/>
              </w:rPr>
              <w:t>2</w:t>
            </w:r>
            <w:r w:rsidR="00B561EB">
              <w:rPr>
                <w:color w:val="2F5496" w:themeColor="accent1" w:themeShade="BF"/>
              </w:rPr>
              <w:t>2</w:t>
            </w:r>
            <w:r w:rsidR="00796DAF" w:rsidRPr="00C1386A">
              <w:rPr>
                <w:color w:val="2F5496" w:themeColor="accent1" w:themeShade="BF"/>
              </w:rPr>
              <w:t>%)</w:t>
            </w:r>
          </w:p>
        </w:tc>
        <w:tc>
          <w:tcPr>
            <w:tcW w:w="2265" w:type="dxa"/>
          </w:tcPr>
          <w:p w:rsidR="00620CF7" w:rsidRPr="00C1386A" w:rsidRDefault="00B561EB" w:rsidP="00380F73">
            <w:pPr>
              <w:jc w:val="center"/>
              <w:rPr>
                <w:color w:val="2F5496" w:themeColor="accent1" w:themeShade="BF"/>
              </w:rPr>
            </w:pPr>
            <w:r>
              <w:rPr>
                <w:color w:val="2F5496" w:themeColor="accent1" w:themeShade="BF"/>
              </w:rPr>
              <w:t>1 (50%)</w:t>
            </w:r>
          </w:p>
        </w:tc>
        <w:tc>
          <w:tcPr>
            <w:tcW w:w="2416" w:type="dxa"/>
          </w:tcPr>
          <w:p w:rsidR="00620CF7" w:rsidRPr="00C1386A" w:rsidRDefault="00B561EB" w:rsidP="00380F73">
            <w:pPr>
              <w:jc w:val="center"/>
              <w:rPr>
                <w:color w:val="2F5496" w:themeColor="accent1" w:themeShade="BF"/>
              </w:rPr>
            </w:pPr>
            <w:r>
              <w:rPr>
                <w:color w:val="2F5496" w:themeColor="accent1" w:themeShade="BF"/>
              </w:rPr>
              <w:t>6</w:t>
            </w:r>
            <w:r w:rsidR="00A2791A" w:rsidRPr="00C1386A">
              <w:rPr>
                <w:color w:val="2F5496" w:themeColor="accent1" w:themeShade="BF"/>
              </w:rPr>
              <w:t xml:space="preserve"> </w:t>
            </w:r>
            <w:r w:rsidR="00796DAF" w:rsidRPr="00C1386A">
              <w:rPr>
                <w:color w:val="2F5496" w:themeColor="accent1" w:themeShade="BF"/>
              </w:rPr>
              <w:t>(</w:t>
            </w:r>
            <w:r>
              <w:rPr>
                <w:color w:val="2F5496" w:themeColor="accent1" w:themeShade="BF"/>
              </w:rPr>
              <w:t>8</w:t>
            </w:r>
            <w:r w:rsidR="00A2791A" w:rsidRPr="00C1386A">
              <w:rPr>
                <w:color w:val="2F5496" w:themeColor="accent1" w:themeShade="BF"/>
              </w:rPr>
              <w:t>5</w:t>
            </w:r>
            <w:r w:rsidR="00796DAF" w:rsidRPr="00C1386A">
              <w:rPr>
                <w:color w:val="2F5496" w:themeColor="accent1" w:themeShade="BF"/>
              </w:rPr>
              <w:t>%)</w:t>
            </w:r>
          </w:p>
        </w:tc>
      </w:tr>
      <w:tr w:rsidR="00620CF7" w:rsidTr="00380F73">
        <w:tc>
          <w:tcPr>
            <w:tcW w:w="2122" w:type="dxa"/>
          </w:tcPr>
          <w:p w:rsidR="00620CF7" w:rsidRPr="00C1386A" w:rsidRDefault="00620CF7" w:rsidP="00380F73">
            <w:pPr>
              <w:rPr>
                <w:b/>
                <w:color w:val="2F5496" w:themeColor="accent1" w:themeShade="BF"/>
              </w:rPr>
            </w:pPr>
            <w:r w:rsidRPr="00C1386A">
              <w:rPr>
                <w:b/>
                <w:color w:val="2F5496" w:themeColor="accent1" w:themeShade="BF"/>
              </w:rPr>
              <w:t>Resolved</w:t>
            </w:r>
          </w:p>
        </w:tc>
        <w:tc>
          <w:tcPr>
            <w:tcW w:w="2265" w:type="dxa"/>
          </w:tcPr>
          <w:p w:rsidR="00620CF7" w:rsidRPr="00C1386A" w:rsidRDefault="00796DAF" w:rsidP="00380F73">
            <w:pPr>
              <w:jc w:val="center"/>
              <w:rPr>
                <w:color w:val="2F5496" w:themeColor="accent1" w:themeShade="BF"/>
              </w:rPr>
            </w:pPr>
            <w:r w:rsidRPr="00C1386A">
              <w:rPr>
                <w:color w:val="2F5496" w:themeColor="accent1" w:themeShade="BF"/>
              </w:rPr>
              <w:t>1</w:t>
            </w:r>
            <w:r w:rsidR="00B561EB">
              <w:rPr>
                <w:color w:val="2F5496" w:themeColor="accent1" w:themeShade="BF"/>
              </w:rPr>
              <w:t>5</w:t>
            </w:r>
            <w:r w:rsidR="00A2791A" w:rsidRPr="00C1386A">
              <w:rPr>
                <w:color w:val="2F5496" w:themeColor="accent1" w:themeShade="BF"/>
              </w:rPr>
              <w:t xml:space="preserve"> </w:t>
            </w:r>
            <w:r w:rsidRPr="00C1386A">
              <w:rPr>
                <w:color w:val="2F5496" w:themeColor="accent1" w:themeShade="BF"/>
              </w:rPr>
              <w:t>(</w:t>
            </w:r>
            <w:r w:rsidR="00A2791A" w:rsidRPr="00C1386A">
              <w:rPr>
                <w:color w:val="2F5496" w:themeColor="accent1" w:themeShade="BF"/>
              </w:rPr>
              <w:t>6</w:t>
            </w:r>
            <w:r w:rsidR="00B561EB">
              <w:rPr>
                <w:color w:val="2F5496" w:themeColor="accent1" w:themeShade="BF"/>
              </w:rPr>
              <w:t>5</w:t>
            </w:r>
            <w:r w:rsidRPr="00C1386A">
              <w:rPr>
                <w:color w:val="2F5496" w:themeColor="accent1" w:themeShade="BF"/>
              </w:rPr>
              <w:t>%)</w:t>
            </w:r>
          </w:p>
        </w:tc>
        <w:tc>
          <w:tcPr>
            <w:tcW w:w="2265" w:type="dxa"/>
          </w:tcPr>
          <w:p w:rsidR="00620CF7" w:rsidRPr="00C1386A" w:rsidRDefault="00A2791A" w:rsidP="00380F73">
            <w:pPr>
              <w:jc w:val="center"/>
              <w:rPr>
                <w:color w:val="2F5496" w:themeColor="accent1" w:themeShade="BF"/>
              </w:rPr>
            </w:pPr>
            <w:r w:rsidRPr="00C1386A">
              <w:rPr>
                <w:color w:val="2F5496" w:themeColor="accent1" w:themeShade="BF"/>
              </w:rPr>
              <w:t>0</w:t>
            </w:r>
          </w:p>
        </w:tc>
        <w:tc>
          <w:tcPr>
            <w:tcW w:w="2416" w:type="dxa"/>
          </w:tcPr>
          <w:p w:rsidR="00620CF7" w:rsidRPr="00C1386A" w:rsidRDefault="00796DAF" w:rsidP="00380F73">
            <w:pPr>
              <w:jc w:val="center"/>
              <w:rPr>
                <w:color w:val="2F5496" w:themeColor="accent1" w:themeShade="BF"/>
              </w:rPr>
            </w:pPr>
            <w:r w:rsidRPr="00C1386A">
              <w:rPr>
                <w:color w:val="2F5496" w:themeColor="accent1" w:themeShade="BF"/>
              </w:rPr>
              <w:t>0</w:t>
            </w:r>
          </w:p>
        </w:tc>
      </w:tr>
    </w:tbl>
    <w:p w:rsidR="0086454C" w:rsidRPr="008B62A6" w:rsidRDefault="0086454C" w:rsidP="0086454C">
      <w:pPr>
        <w:rPr>
          <w:b/>
        </w:rPr>
      </w:pPr>
      <w:r>
        <w:rPr>
          <w:b/>
        </w:rPr>
        <w:br w:type="page"/>
      </w:r>
    </w:p>
    <w:p w:rsidR="0086454C" w:rsidRDefault="0086454C" w:rsidP="0086454C"/>
    <w:p w:rsidR="004E3F36" w:rsidRDefault="004E3F36" w:rsidP="004E3F36"/>
    <w:p w:rsidR="004068C3" w:rsidRPr="00C1386A" w:rsidRDefault="004068C3" w:rsidP="004068C3">
      <w:pPr>
        <w:pStyle w:val="Heading1"/>
        <w:rPr>
          <w:rFonts w:eastAsia="Calibri" w:cs="Times New Roman"/>
          <w:color w:val="ED7D31" w:themeColor="accent2"/>
          <w:sz w:val="22"/>
          <w:szCs w:val="22"/>
        </w:rPr>
      </w:pPr>
      <w:bookmarkStart w:id="5" w:name="_Toc149811898"/>
      <w:r w:rsidRPr="00C1386A">
        <w:rPr>
          <w:color w:val="ED7D31" w:themeColor="accent2"/>
        </w:rPr>
        <w:t>Learning from Complaints (LFC)</w:t>
      </w:r>
      <w:bookmarkEnd w:id="5"/>
      <w:r w:rsidRPr="00C1386A">
        <w:rPr>
          <w:color w:val="ED7D31" w:themeColor="accent2"/>
        </w:rPr>
        <w:t xml:space="preserve">    </w:t>
      </w:r>
    </w:p>
    <w:p w:rsidR="004068C3" w:rsidRPr="00E20335" w:rsidRDefault="004068C3" w:rsidP="004068C3"/>
    <w:p w:rsidR="004068C3" w:rsidRPr="00C1386A" w:rsidRDefault="004068C3" w:rsidP="004068C3">
      <w:pPr>
        <w:rPr>
          <w:color w:val="2F5496" w:themeColor="accent1" w:themeShade="BF"/>
        </w:rPr>
      </w:pPr>
      <w:r w:rsidRPr="00C1386A">
        <w:rPr>
          <w:color w:val="2F5496" w:themeColor="accent1" w:themeShade="BF"/>
        </w:rPr>
        <w:t xml:space="preserve">During the </w:t>
      </w:r>
      <w:r w:rsidR="008D34CF" w:rsidRPr="00C1386A">
        <w:rPr>
          <w:color w:val="2F5496" w:themeColor="accent1" w:themeShade="BF"/>
        </w:rPr>
        <w:t xml:space="preserve">second </w:t>
      </w:r>
      <w:r w:rsidRPr="00C1386A">
        <w:rPr>
          <w:color w:val="2F5496" w:themeColor="accent1" w:themeShade="BF"/>
        </w:rPr>
        <w:t>quarter of session 2</w:t>
      </w:r>
      <w:r w:rsidR="00133678" w:rsidRPr="00C1386A">
        <w:rPr>
          <w:color w:val="2F5496" w:themeColor="accent1" w:themeShade="BF"/>
        </w:rPr>
        <w:t>3/24</w:t>
      </w:r>
      <w:r w:rsidRPr="00C1386A">
        <w:rPr>
          <w:color w:val="2F5496" w:themeColor="accent1" w:themeShade="BF"/>
        </w:rPr>
        <w:t xml:space="preserve"> by completing an LFC we have helped improve services and delivery, some of the actions taken in response to complaints were</w:t>
      </w:r>
      <w:r w:rsidR="005001E3" w:rsidRPr="00C1386A">
        <w:rPr>
          <w:color w:val="2F5496" w:themeColor="accent1" w:themeShade="BF"/>
        </w:rPr>
        <w:t>:</w:t>
      </w:r>
    </w:p>
    <w:p w:rsidR="005001E3" w:rsidRPr="00C1386A" w:rsidRDefault="005001E3" w:rsidP="004068C3">
      <w:pPr>
        <w:rPr>
          <w:color w:val="2F5496" w:themeColor="accent1" w:themeShade="BF"/>
        </w:rPr>
      </w:pPr>
    </w:p>
    <w:p w:rsidR="005001E3" w:rsidRPr="00C1386A" w:rsidRDefault="008D34CF" w:rsidP="008D34CF">
      <w:pPr>
        <w:pStyle w:val="ListParagraph"/>
        <w:numPr>
          <w:ilvl w:val="0"/>
          <w:numId w:val="6"/>
        </w:numPr>
        <w:rPr>
          <w:color w:val="2F5496" w:themeColor="accent1" w:themeShade="BF"/>
        </w:rPr>
      </w:pPr>
      <w:r w:rsidRPr="00C1386A">
        <w:rPr>
          <w:color w:val="2F5496" w:themeColor="accent1" w:themeShade="BF"/>
        </w:rPr>
        <w:t>Wording changed in student car parking permit application to advise students to display their permit on the front windscreen</w:t>
      </w:r>
    </w:p>
    <w:p w:rsidR="004068C3" w:rsidRDefault="004068C3" w:rsidP="00C513EF"/>
    <w:p w:rsidR="004068C3" w:rsidRPr="00C1386A" w:rsidRDefault="004068C3" w:rsidP="004068C3">
      <w:pPr>
        <w:rPr>
          <w:b/>
          <w:color w:val="ED7D31" w:themeColor="accent2"/>
          <w:sz w:val="32"/>
          <w:szCs w:val="32"/>
          <w:u w:val="single"/>
        </w:rPr>
      </w:pPr>
      <w:r w:rsidRPr="00C1386A">
        <w:rPr>
          <w:b/>
          <w:color w:val="ED7D31" w:themeColor="accent2"/>
          <w:sz w:val="32"/>
          <w:szCs w:val="32"/>
          <w:u w:val="single"/>
        </w:rPr>
        <w:t>Case Study</w:t>
      </w:r>
    </w:p>
    <w:p w:rsidR="004068C3" w:rsidRDefault="004068C3" w:rsidP="004068C3"/>
    <w:p w:rsidR="004068C3" w:rsidRPr="00C1386A" w:rsidRDefault="004068C3" w:rsidP="004068C3">
      <w:pPr>
        <w:rPr>
          <w:color w:val="2F5496" w:themeColor="accent1" w:themeShade="BF"/>
        </w:rPr>
      </w:pPr>
      <w:r w:rsidRPr="00C1386A">
        <w:rPr>
          <w:b/>
          <w:color w:val="2F5496" w:themeColor="accent1" w:themeShade="BF"/>
        </w:rPr>
        <w:t>Complaint</w:t>
      </w:r>
      <w:r w:rsidRPr="00C1386A">
        <w:rPr>
          <w:color w:val="2F5496" w:themeColor="accent1" w:themeShade="BF"/>
        </w:rPr>
        <w:t xml:space="preserve">:  </w:t>
      </w:r>
      <w:r w:rsidR="00B43EE3" w:rsidRPr="00894232">
        <w:rPr>
          <w:color w:val="2F5496" w:themeColor="accent1" w:themeShade="BF"/>
        </w:rPr>
        <w:t>Several complaints about receiving car parking fines from UKPC</w:t>
      </w:r>
    </w:p>
    <w:p w:rsidR="004068C3" w:rsidRPr="00C1386A" w:rsidRDefault="004068C3" w:rsidP="004068C3">
      <w:pPr>
        <w:rPr>
          <w:color w:val="2F5496" w:themeColor="accent1" w:themeShade="BF"/>
        </w:rPr>
      </w:pPr>
    </w:p>
    <w:p w:rsidR="004068C3" w:rsidRPr="00C1386A" w:rsidRDefault="004068C3" w:rsidP="004068C3">
      <w:pPr>
        <w:rPr>
          <w:color w:val="2F5496" w:themeColor="accent1" w:themeShade="BF"/>
        </w:rPr>
      </w:pPr>
      <w:r w:rsidRPr="00C1386A">
        <w:rPr>
          <w:b/>
          <w:color w:val="2F5496" w:themeColor="accent1" w:themeShade="BF"/>
        </w:rPr>
        <w:t>What went wrong?</w:t>
      </w:r>
      <w:r w:rsidRPr="00C1386A">
        <w:rPr>
          <w:color w:val="2F5496" w:themeColor="accent1" w:themeShade="BF"/>
        </w:rPr>
        <w:t xml:space="preserve">  </w:t>
      </w:r>
      <w:r w:rsidR="00B43EE3" w:rsidRPr="00894232">
        <w:rPr>
          <w:color w:val="2F5496" w:themeColor="accent1" w:themeShade="BF"/>
        </w:rPr>
        <w:t>Not enough awareness of car parking rules and regulations.</w:t>
      </w:r>
    </w:p>
    <w:p w:rsidR="004068C3" w:rsidRPr="00C1386A" w:rsidRDefault="004068C3" w:rsidP="004068C3">
      <w:pPr>
        <w:rPr>
          <w:color w:val="2F5496" w:themeColor="accent1" w:themeShade="BF"/>
        </w:rPr>
      </w:pPr>
    </w:p>
    <w:p w:rsidR="004068C3" w:rsidRPr="00C1386A" w:rsidRDefault="004068C3" w:rsidP="004068C3">
      <w:pPr>
        <w:rPr>
          <w:color w:val="2F5496" w:themeColor="accent1" w:themeShade="BF"/>
        </w:rPr>
      </w:pPr>
      <w:r w:rsidRPr="00C1386A">
        <w:rPr>
          <w:b/>
          <w:color w:val="2F5496" w:themeColor="accent1" w:themeShade="BF"/>
        </w:rPr>
        <w:t>Actions implemented</w:t>
      </w:r>
      <w:r w:rsidRPr="00C1386A">
        <w:rPr>
          <w:color w:val="2F5496" w:themeColor="accent1" w:themeShade="BF"/>
        </w:rPr>
        <w:t xml:space="preserve">:   </w:t>
      </w:r>
      <w:r w:rsidR="00B43EE3" w:rsidRPr="00894232">
        <w:rPr>
          <w:color w:val="2F5496" w:themeColor="accent1" w:themeShade="BF"/>
        </w:rPr>
        <w:t xml:space="preserve">Wording changed in the student car parking permit application to advise students to display their permit on the front windscreen. </w:t>
      </w:r>
      <w:r w:rsidR="00B43EE3">
        <w:rPr>
          <w:color w:val="2F5496" w:themeColor="accent1" w:themeShade="BF"/>
        </w:rPr>
        <w:t xml:space="preserve">Communication through ECSA Newsletter - </w:t>
      </w:r>
      <w:hyperlink r:id="rId11" w:history="1">
        <w:r w:rsidR="00B43EE3">
          <w:rPr>
            <w:rStyle w:val="Hyperlink"/>
          </w:rPr>
          <w:t>Newsletter: LGBT+ Inclusion / Elections / Wellbeing Fair / Free ID (ecsa.scot)</w:t>
        </w:r>
      </w:hyperlink>
      <w:r w:rsidR="00B43EE3">
        <w:rPr>
          <w:color w:val="2F5496" w:themeColor="accent1" w:themeShade="BF"/>
        </w:rPr>
        <w:t xml:space="preserve"> at start of semester 2 to remind students to apply for a permit at reception and to display their permit clearly (advised on the windscreen).</w:t>
      </w:r>
    </w:p>
    <w:p w:rsidR="004E3F36" w:rsidRDefault="004E3F36"/>
    <w:p w:rsidR="00C6352A" w:rsidRDefault="00C6352A"/>
    <w:p w:rsidR="00620CF7" w:rsidRPr="00C1386A" w:rsidRDefault="00620CF7" w:rsidP="00620CF7">
      <w:pPr>
        <w:pStyle w:val="Heading1"/>
        <w:rPr>
          <w:color w:val="ED7D31" w:themeColor="accent2"/>
        </w:rPr>
      </w:pPr>
      <w:bookmarkStart w:id="6" w:name="_Toc134097016"/>
      <w:bookmarkStart w:id="7" w:name="_Toc113361091"/>
      <w:bookmarkStart w:id="8" w:name="_Toc149811899"/>
      <w:r w:rsidRPr="00C1386A">
        <w:rPr>
          <w:color w:val="ED7D31" w:themeColor="accent2"/>
        </w:rPr>
        <w:t>Customer satisfaction with the complaints process</w:t>
      </w:r>
      <w:bookmarkEnd w:id="6"/>
      <w:bookmarkEnd w:id="7"/>
      <w:bookmarkEnd w:id="8"/>
    </w:p>
    <w:p w:rsidR="00620CF7" w:rsidRDefault="00620CF7">
      <w:pPr>
        <w:rPr>
          <w:color w:val="FF0000"/>
        </w:rPr>
      </w:pPr>
    </w:p>
    <w:p w:rsidR="000959B8" w:rsidRPr="00C1386A" w:rsidRDefault="000959B8" w:rsidP="000959B8">
      <w:pPr>
        <w:rPr>
          <w:color w:val="2F5496" w:themeColor="accent1" w:themeShade="BF"/>
        </w:rPr>
      </w:pPr>
      <w:bookmarkStart w:id="9" w:name="_Hlk158293628"/>
      <w:r w:rsidRPr="00C1386A">
        <w:rPr>
          <w:color w:val="2F5496" w:themeColor="accent1" w:themeShade="BF"/>
        </w:rPr>
        <w:t xml:space="preserve">Only </w:t>
      </w:r>
      <w:r w:rsidR="004C34C7">
        <w:rPr>
          <w:color w:val="2F5496" w:themeColor="accent1" w:themeShade="BF"/>
        </w:rPr>
        <w:t>3</w:t>
      </w:r>
      <w:r w:rsidRPr="00C1386A">
        <w:rPr>
          <w:color w:val="2F5496" w:themeColor="accent1" w:themeShade="BF"/>
        </w:rPr>
        <w:t xml:space="preserve"> surveys were completed in the </w:t>
      </w:r>
      <w:r w:rsidR="004C34C7">
        <w:rPr>
          <w:color w:val="2F5496" w:themeColor="accent1" w:themeShade="BF"/>
        </w:rPr>
        <w:t xml:space="preserve">second </w:t>
      </w:r>
      <w:r w:rsidRPr="00C1386A">
        <w:rPr>
          <w:color w:val="2F5496" w:themeColor="accent1" w:themeShade="BF"/>
        </w:rPr>
        <w:t>quarter.</w:t>
      </w:r>
    </w:p>
    <w:p w:rsidR="000959B8" w:rsidRPr="00C1386A" w:rsidRDefault="000959B8" w:rsidP="000959B8">
      <w:pPr>
        <w:rPr>
          <w:color w:val="2F5496" w:themeColor="accent1" w:themeShade="BF"/>
        </w:rPr>
      </w:pPr>
    </w:p>
    <w:p w:rsidR="000959B8" w:rsidRPr="00C1386A" w:rsidRDefault="008538C2" w:rsidP="000959B8">
      <w:pPr>
        <w:rPr>
          <w:color w:val="2F5496" w:themeColor="accent1" w:themeShade="BF"/>
        </w:rPr>
      </w:pPr>
      <w:r>
        <w:rPr>
          <w:color w:val="2F5496" w:themeColor="accent1" w:themeShade="BF"/>
        </w:rPr>
        <w:t>2 responses were very positive in all aspects of easiness to make the complaint, timelines, professionalism, friendliness, politeness, courtesy, communication style and agreed with their outcome however 1 was very dissatisfied with all aspects and commented that they disagreed with receiving a car parking fine.</w:t>
      </w:r>
    </w:p>
    <w:bookmarkEnd w:id="9"/>
    <w:p w:rsidR="00620CF7" w:rsidRDefault="00620CF7">
      <w:pPr>
        <w:rPr>
          <w:color w:val="FF0000"/>
        </w:rPr>
      </w:pPr>
    </w:p>
    <w:p w:rsidR="00620CF7" w:rsidRDefault="00620CF7">
      <w:pPr>
        <w:rPr>
          <w:color w:val="FF0000"/>
        </w:rPr>
      </w:pPr>
    </w:p>
    <w:p w:rsidR="00620CF7" w:rsidRDefault="00620CF7" w:rsidP="00620CF7">
      <w:pPr>
        <w:pStyle w:val="Heading1"/>
        <w:rPr>
          <w:color w:val="ED7D31" w:themeColor="accent2"/>
        </w:rPr>
      </w:pPr>
      <w:bookmarkStart w:id="10" w:name="_Toc134097017"/>
      <w:bookmarkStart w:id="11" w:name="_Toc149811900"/>
      <w:r w:rsidRPr="00C1386A">
        <w:rPr>
          <w:color w:val="ED7D31" w:themeColor="accent2"/>
        </w:rPr>
        <w:t>Compliments</w:t>
      </w:r>
      <w:bookmarkEnd w:id="10"/>
      <w:bookmarkEnd w:id="11"/>
    </w:p>
    <w:p w:rsidR="005F3B42" w:rsidRDefault="005F3B42" w:rsidP="005F3B42"/>
    <w:p w:rsidR="005F3B42" w:rsidRPr="005F3B42" w:rsidRDefault="005F3B42" w:rsidP="005F3B42">
      <w:pPr>
        <w:rPr>
          <w:color w:val="2F5496" w:themeColor="accent1" w:themeShade="BF"/>
        </w:rPr>
      </w:pPr>
      <w:bookmarkStart w:id="12" w:name="_Hlk158292775"/>
      <w:r w:rsidRPr="005F3B42">
        <w:rPr>
          <w:color w:val="2F5496" w:themeColor="accent1" w:themeShade="BF"/>
        </w:rPr>
        <w:t>2 compliments were received in the second quarter:</w:t>
      </w:r>
      <w:bookmarkEnd w:id="12"/>
    </w:p>
    <w:p w:rsidR="00620CF7" w:rsidRDefault="00620CF7">
      <w:pPr>
        <w:rPr>
          <w:color w:val="FF0000"/>
        </w:rPr>
      </w:pPr>
    </w:p>
    <w:p w:rsidR="00620CF7" w:rsidRDefault="00BC5901" w:rsidP="00BC5901">
      <w:pPr>
        <w:pStyle w:val="ListParagraph"/>
        <w:numPr>
          <w:ilvl w:val="0"/>
          <w:numId w:val="6"/>
        </w:numPr>
        <w:rPr>
          <w:color w:val="2F5496" w:themeColor="accent1" w:themeShade="BF"/>
        </w:rPr>
      </w:pPr>
      <w:bookmarkStart w:id="13" w:name="_Hlk158292743"/>
      <w:r>
        <w:rPr>
          <w:color w:val="2F5496" w:themeColor="accent1" w:themeShade="BF"/>
        </w:rPr>
        <w:t>Gratitude from a parent about the graduation who said “t</w:t>
      </w:r>
      <w:r w:rsidRPr="005F3B42">
        <w:rPr>
          <w:i/>
          <w:color w:val="2F5496" w:themeColor="accent1" w:themeShade="BF"/>
        </w:rPr>
        <w:t>he warmest of welcomes at the reception beforehand and the graduation itself.  The organisation was amazing, each of the staff was so friendly and helpful and the whole evening form an attendee’s perspective flowed effortless”</w:t>
      </w:r>
    </w:p>
    <w:p w:rsidR="005F3B42" w:rsidRPr="005F3B42" w:rsidRDefault="005F3B42" w:rsidP="005F3B42">
      <w:pPr>
        <w:pStyle w:val="ListParagraph"/>
        <w:numPr>
          <w:ilvl w:val="0"/>
          <w:numId w:val="6"/>
        </w:numPr>
        <w:rPr>
          <w:i/>
          <w:color w:val="2F5496" w:themeColor="accent1" w:themeShade="BF"/>
          <w:szCs w:val="22"/>
        </w:rPr>
      </w:pPr>
      <w:r w:rsidRPr="005F3B42">
        <w:rPr>
          <w:color w:val="2F5496" w:themeColor="accent1" w:themeShade="BF"/>
        </w:rPr>
        <w:t>Parent thankful for Student Services staff, they said “</w:t>
      </w:r>
      <w:r w:rsidRPr="005F3B42">
        <w:rPr>
          <w:i/>
          <w:color w:val="2F5496" w:themeColor="accent1" w:themeShade="BF"/>
          <w:szCs w:val="22"/>
        </w:rPr>
        <w:t xml:space="preserve">My son attends Edinburgh College and he suffers a great deal with anxiety as a result of his disabilities, which often makes seeking support and assistance harder. His mum and I are often having to accompany him in and out of places to support him, but, this time we couldn't.   He went into student services at Granton/Telford college and spoke to a young chap. Ever since he came back from college after speaking to him, he has been saying how appreciative of him he was. </w:t>
      </w:r>
      <w:r w:rsidR="006A640A">
        <w:rPr>
          <w:i/>
          <w:color w:val="2F5496" w:themeColor="accent1" w:themeShade="BF"/>
          <w:szCs w:val="22"/>
        </w:rPr>
        <w:t>He</w:t>
      </w:r>
      <w:r w:rsidRPr="005F3B42">
        <w:rPr>
          <w:i/>
          <w:color w:val="2F5496" w:themeColor="accent1" w:themeShade="BF"/>
          <w:szCs w:val="22"/>
        </w:rPr>
        <w:t xml:space="preserve"> was patient with him, made him feel welcome and even went above and beyond to discuss support avenues with him moving support.</w:t>
      </w:r>
    </w:p>
    <w:p w:rsidR="005F3B42" w:rsidRPr="005F3B42" w:rsidRDefault="005F3B42" w:rsidP="005F3B42">
      <w:pPr>
        <w:rPr>
          <w:rFonts w:eastAsia="Times New Roman" w:cs="Arial"/>
          <w:i/>
          <w:color w:val="2F5496" w:themeColor="accent1" w:themeShade="BF"/>
        </w:rPr>
      </w:pPr>
    </w:p>
    <w:p w:rsidR="005F3B42" w:rsidRPr="005F3B42" w:rsidRDefault="005F3B42" w:rsidP="005F3B42">
      <w:pPr>
        <w:ind w:left="720"/>
        <w:rPr>
          <w:rFonts w:eastAsia="Times New Roman" w:cs="Arial"/>
          <w:i/>
          <w:color w:val="2F5496" w:themeColor="accent1" w:themeShade="BF"/>
        </w:rPr>
      </w:pPr>
      <w:r w:rsidRPr="005F3B42">
        <w:rPr>
          <w:rFonts w:eastAsia="Times New Roman" w:cs="Arial"/>
          <w:i/>
          <w:color w:val="2F5496" w:themeColor="accent1" w:themeShade="BF"/>
        </w:rPr>
        <w:t xml:space="preserve">I have since been into speak to </w:t>
      </w:r>
      <w:r w:rsidR="006A640A">
        <w:rPr>
          <w:rFonts w:eastAsia="Times New Roman" w:cs="Arial"/>
          <w:i/>
          <w:color w:val="2F5496" w:themeColor="accent1" w:themeShade="BF"/>
        </w:rPr>
        <w:t>him</w:t>
      </w:r>
      <w:r w:rsidRPr="005F3B42">
        <w:rPr>
          <w:rFonts w:eastAsia="Times New Roman" w:cs="Arial"/>
          <w:i/>
          <w:color w:val="2F5496" w:themeColor="accent1" w:themeShade="BF"/>
        </w:rPr>
        <w:t xml:space="preserve"> to thank him personally, but, I know that these interactions can be lost in the madness of life working in a place of that size and I really wanted the right people to know about how much of an asset </w:t>
      </w:r>
      <w:r w:rsidR="006A640A">
        <w:rPr>
          <w:rFonts w:eastAsia="Times New Roman" w:cs="Arial"/>
          <w:i/>
          <w:color w:val="2F5496" w:themeColor="accent1" w:themeShade="BF"/>
        </w:rPr>
        <w:t>he</w:t>
      </w:r>
      <w:r w:rsidRPr="005F3B42">
        <w:rPr>
          <w:rFonts w:eastAsia="Times New Roman" w:cs="Arial"/>
          <w:i/>
          <w:color w:val="2F5496" w:themeColor="accent1" w:themeShade="BF"/>
        </w:rPr>
        <w:t xml:space="preserve"> is in there. </w:t>
      </w:r>
      <w:r w:rsidR="006A640A">
        <w:rPr>
          <w:rFonts w:eastAsia="Times New Roman" w:cs="Arial"/>
          <w:i/>
          <w:color w:val="2F5496" w:themeColor="accent1" w:themeShade="BF"/>
        </w:rPr>
        <w:t>He</w:t>
      </w:r>
      <w:r w:rsidRPr="005F3B42">
        <w:rPr>
          <w:rFonts w:eastAsia="Times New Roman" w:cs="Arial"/>
          <w:i/>
          <w:color w:val="2F5496" w:themeColor="accent1" w:themeShade="BF"/>
        </w:rPr>
        <w:t xml:space="preserve"> ensured that my sons first time seeking support by himself was a success and we cannot thank him enough. </w:t>
      </w:r>
    </w:p>
    <w:bookmarkEnd w:id="13"/>
    <w:p w:rsidR="00BC5901" w:rsidRPr="005F3B42" w:rsidRDefault="00BC5901" w:rsidP="005F3B42">
      <w:pPr>
        <w:ind w:left="360" w:hanging="360"/>
        <w:rPr>
          <w:color w:val="2F5496" w:themeColor="accent1" w:themeShade="BF"/>
        </w:rPr>
      </w:pPr>
    </w:p>
    <w:sectPr w:rsidR="00BC5901" w:rsidRPr="005F3B42" w:rsidSect="00156C3A">
      <w:footerReference w:type="default" r:id="rId12"/>
      <w:pgSz w:w="11906" w:h="16838" w:code="9"/>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048" w:rsidRDefault="001E2048" w:rsidP="00156C3A">
      <w:r>
        <w:separator/>
      </w:r>
    </w:p>
  </w:endnote>
  <w:endnote w:type="continuationSeparator" w:id="0">
    <w:p w:rsidR="001E2048" w:rsidRDefault="001E2048" w:rsidP="0015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87A" w:rsidRPr="0018587A" w:rsidRDefault="0018587A" w:rsidP="0018587A">
    <w:pPr>
      <w:pStyle w:val="Footer"/>
      <w:pBdr>
        <w:bottom w:val="thinThickMediumGap" w:sz="24" w:space="1" w:color="44546A" w:themeColor="text2"/>
      </w:pBdr>
      <w:rPr>
        <w:sz w:val="12"/>
        <w:szCs w:val="12"/>
      </w:rPr>
    </w:pPr>
  </w:p>
  <w:p w:rsidR="0018587A" w:rsidRPr="0018587A" w:rsidRDefault="0018587A">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CF9" w:rsidRPr="0018587A" w:rsidRDefault="00F15CF9" w:rsidP="0018587A">
    <w:pPr>
      <w:pStyle w:val="Footer"/>
      <w:pBdr>
        <w:bottom w:val="thinThickMediumGap" w:sz="24" w:space="1" w:color="44546A" w:themeColor="text2"/>
      </w:pBdr>
      <w:rPr>
        <w:sz w:val="12"/>
        <w:szCs w:val="12"/>
      </w:rPr>
    </w:pPr>
  </w:p>
  <w:p w:rsidR="00F15CF9" w:rsidRPr="0018587A" w:rsidRDefault="00F15CF9">
    <w:pPr>
      <w:pStyle w:val="Footer"/>
      <w:rPr>
        <w:sz w:val="12"/>
        <w:szCs w:val="12"/>
      </w:rPr>
    </w:pPr>
  </w:p>
  <w:p w:rsidR="00F15CF9" w:rsidRDefault="00F15CF9">
    <w:pPr>
      <w:pStyle w:val="Footer"/>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048" w:rsidRDefault="001E2048" w:rsidP="00156C3A">
      <w:r>
        <w:separator/>
      </w:r>
    </w:p>
  </w:footnote>
  <w:footnote w:type="continuationSeparator" w:id="0">
    <w:p w:rsidR="001E2048" w:rsidRDefault="001E2048" w:rsidP="0015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C3A" w:rsidRDefault="0018587A" w:rsidP="00E665AB">
    <w:pPr>
      <w:spacing w:after="80"/>
    </w:pPr>
    <w:r>
      <w:t>Complaints Handling</w:t>
    </w:r>
    <w:r w:rsidR="00E6655A">
      <w:t xml:space="preserve"> </w:t>
    </w:r>
    <w:r w:rsidR="00CA78B7">
      <w:t xml:space="preserve">Second </w:t>
    </w:r>
    <w:r w:rsidR="00E6655A">
      <w:t xml:space="preserve">Quarter Report </w:t>
    </w:r>
    <w:r w:rsidR="00122B05">
      <w:t>November 2023</w:t>
    </w:r>
    <w:r w:rsidR="00E6655A">
      <w:t xml:space="preserve"> – </w:t>
    </w:r>
    <w:r w:rsidR="00122B05">
      <w:t>January 2024</w:t>
    </w:r>
  </w:p>
  <w:p w:rsidR="0018587A" w:rsidRPr="0018587A" w:rsidRDefault="0018587A" w:rsidP="0018587A">
    <w:pPr>
      <w:pBdr>
        <w:top w:val="thickThinMediumGap" w:sz="24" w:space="1" w:color="44546A" w:themeColor="text2"/>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2AF9"/>
    <w:multiLevelType w:val="hybridMultilevel"/>
    <w:tmpl w:val="E8B86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A2694A"/>
    <w:multiLevelType w:val="hybridMultilevel"/>
    <w:tmpl w:val="0482704E"/>
    <w:lvl w:ilvl="0" w:tplc="AD56483E">
      <w:start w:val="1"/>
      <w:numFmt w:val="decimal"/>
      <w:lvlText w:val="%1."/>
      <w:lvlJc w:val="left"/>
      <w:pPr>
        <w:ind w:left="360" w:hanging="360"/>
      </w:pPr>
      <w:rPr>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E44DA9"/>
    <w:multiLevelType w:val="hybridMultilevel"/>
    <w:tmpl w:val="1536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A1C86"/>
    <w:multiLevelType w:val="hybridMultilevel"/>
    <w:tmpl w:val="E9C2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B0BE5"/>
    <w:multiLevelType w:val="hybridMultilevel"/>
    <w:tmpl w:val="194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4C"/>
    <w:rsid w:val="00043A4E"/>
    <w:rsid w:val="000922F7"/>
    <w:rsid w:val="000959B8"/>
    <w:rsid w:val="0011127B"/>
    <w:rsid w:val="00122B05"/>
    <w:rsid w:val="00133641"/>
    <w:rsid w:val="00133678"/>
    <w:rsid w:val="00156C3A"/>
    <w:rsid w:val="0018587A"/>
    <w:rsid w:val="001B0371"/>
    <w:rsid w:val="001E2048"/>
    <w:rsid w:val="001E301C"/>
    <w:rsid w:val="002173BD"/>
    <w:rsid w:val="00240120"/>
    <w:rsid w:val="00253E2B"/>
    <w:rsid w:val="002A29DE"/>
    <w:rsid w:val="002C223B"/>
    <w:rsid w:val="002D087A"/>
    <w:rsid w:val="002F0137"/>
    <w:rsid w:val="00382EF5"/>
    <w:rsid w:val="003852E1"/>
    <w:rsid w:val="003A12D9"/>
    <w:rsid w:val="003C2605"/>
    <w:rsid w:val="003D789D"/>
    <w:rsid w:val="003F5CA1"/>
    <w:rsid w:val="004068C3"/>
    <w:rsid w:val="004749B9"/>
    <w:rsid w:val="00492F99"/>
    <w:rsid w:val="004B5078"/>
    <w:rsid w:val="004C34C7"/>
    <w:rsid w:val="004E3F36"/>
    <w:rsid w:val="005001E3"/>
    <w:rsid w:val="005120E0"/>
    <w:rsid w:val="00557C0C"/>
    <w:rsid w:val="00562981"/>
    <w:rsid w:val="0057009D"/>
    <w:rsid w:val="005A6263"/>
    <w:rsid w:val="005C4E07"/>
    <w:rsid w:val="005E05D4"/>
    <w:rsid w:val="005F3B42"/>
    <w:rsid w:val="005F6A68"/>
    <w:rsid w:val="006003E8"/>
    <w:rsid w:val="00620CF7"/>
    <w:rsid w:val="00621F9B"/>
    <w:rsid w:val="00664E8D"/>
    <w:rsid w:val="006A640A"/>
    <w:rsid w:val="00763815"/>
    <w:rsid w:val="007667C8"/>
    <w:rsid w:val="00776773"/>
    <w:rsid w:val="00796DAF"/>
    <w:rsid w:val="007A3229"/>
    <w:rsid w:val="007D37EF"/>
    <w:rsid w:val="00840513"/>
    <w:rsid w:val="008538C2"/>
    <w:rsid w:val="008634CD"/>
    <w:rsid w:val="0086454C"/>
    <w:rsid w:val="008B62A6"/>
    <w:rsid w:val="008D34CF"/>
    <w:rsid w:val="00902C06"/>
    <w:rsid w:val="00987E65"/>
    <w:rsid w:val="009C0887"/>
    <w:rsid w:val="009C26B0"/>
    <w:rsid w:val="00A2791A"/>
    <w:rsid w:val="00A57941"/>
    <w:rsid w:val="00A72E0F"/>
    <w:rsid w:val="00A739F2"/>
    <w:rsid w:val="00A805E5"/>
    <w:rsid w:val="00AB041B"/>
    <w:rsid w:val="00AD482A"/>
    <w:rsid w:val="00AF56A0"/>
    <w:rsid w:val="00B43EE3"/>
    <w:rsid w:val="00B561EB"/>
    <w:rsid w:val="00BC5901"/>
    <w:rsid w:val="00BE3D45"/>
    <w:rsid w:val="00C00B9F"/>
    <w:rsid w:val="00C1386A"/>
    <w:rsid w:val="00C240BA"/>
    <w:rsid w:val="00C32363"/>
    <w:rsid w:val="00C513EF"/>
    <w:rsid w:val="00C6352A"/>
    <w:rsid w:val="00CA78B7"/>
    <w:rsid w:val="00D1453E"/>
    <w:rsid w:val="00D85CFB"/>
    <w:rsid w:val="00DB2E1A"/>
    <w:rsid w:val="00E40BDA"/>
    <w:rsid w:val="00E6655A"/>
    <w:rsid w:val="00E665AB"/>
    <w:rsid w:val="00E7327F"/>
    <w:rsid w:val="00E80893"/>
    <w:rsid w:val="00E932A1"/>
    <w:rsid w:val="00F03DB2"/>
    <w:rsid w:val="00F15CF9"/>
    <w:rsid w:val="00F4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2E0D079"/>
  <w15:chartTrackingRefBased/>
  <w15:docId w15:val="{519AA0D1-6FA9-454E-B647-F01CBB05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605"/>
    <w:pPr>
      <w:spacing w:after="0" w:line="240" w:lineRule="auto"/>
    </w:pPr>
    <w:rPr>
      <w:rFonts w:ascii="Arial" w:hAnsi="Arial"/>
      <w:color w:val="44546A" w:themeColor="text2"/>
    </w:rPr>
  </w:style>
  <w:style w:type="paragraph" w:styleId="Heading1">
    <w:name w:val="heading 1"/>
    <w:basedOn w:val="Normal"/>
    <w:next w:val="Normal"/>
    <w:link w:val="Heading1Char"/>
    <w:uiPriority w:val="9"/>
    <w:qFormat/>
    <w:rsid w:val="00E665AB"/>
    <w:pPr>
      <w:keepNext/>
      <w:keepLines/>
      <w:outlineLvl w:val="0"/>
    </w:pPr>
    <w:rPr>
      <w:rFonts w:eastAsiaTheme="majorEastAsia" w:cstheme="majorBidi"/>
      <w:b/>
      <w:color w:val="95314E"/>
      <w:sz w:val="32"/>
      <w:szCs w:val="32"/>
    </w:rPr>
  </w:style>
  <w:style w:type="paragraph" w:styleId="Heading2">
    <w:name w:val="heading 2"/>
    <w:basedOn w:val="Normal"/>
    <w:next w:val="Normal"/>
    <w:link w:val="Heading2Char"/>
    <w:qFormat/>
    <w:rsid w:val="00E665AB"/>
    <w:pPr>
      <w:keepNext/>
      <w:outlineLvl w:val="1"/>
    </w:pPr>
    <w:rPr>
      <w:rFonts w:eastAsia="Times New Roman" w:cs="Times New Roman"/>
      <w:b/>
      <w:color w:val="2F5496" w:themeColor="accent1" w:themeShade="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5AB"/>
    <w:rPr>
      <w:rFonts w:ascii="Arial" w:eastAsia="Times New Roman" w:hAnsi="Arial" w:cs="Times New Roman"/>
      <w:b/>
      <w:color w:val="2F5496" w:themeColor="accent1" w:themeShade="BF"/>
      <w:sz w:val="28"/>
      <w:szCs w:val="20"/>
    </w:rPr>
  </w:style>
  <w:style w:type="paragraph" w:styleId="Header">
    <w:name w:val="header"/>
    <w:basedOn w:val="Normal"/>
    <w:link w:val="HeaderChar"/>
    <w:uiPriority w:val="99"/>
    <w:unhideWhenUsed/>
    <w:rsid w:val="00156C3A"/>
    <w:pPr>
      <w:tabs>
        <w:tab w:val="center" w:pos="4513"/>
        <w:tab w:val="right" w:pos="9026"/>
      </w:tabs>
    </w:pPr>
  </w:style>
  <w:style w:type="character" w:customStyle="1" w:styleId="HeaderChar">
    <w:name w:val="Header Char"/>
    <w:basedOn w:val="DefaultParagraphFont"/>
    <w:link w:val="Header"/>
    <w:uiPriority w:val="99"/>
    <w:rsid w:val="00156C3A"/>
  </w:style>
  <w:style w:type="paragraph" w:styleId="Footer">
    <w:name w:val="footer"/>
    <w:basedOn w:val="Normal"/>
    <w:link w:val="FooterChar"/>
    <w:uiPriority w:val="99"/>
    <w:unhideWhenUsed/>
    <w:rsid w:val="00156C3A"/>
    <w:pPr>
      <w:tabs>
        <w:tab w:val="center" w:pos="4513"/>
        <w:tab w:val="right" w:pos="9026"/>
      </w:tabs>
    </w:pPr>
  </w:style>
  <w:style w:type="character" w:customStyle="1" w:styleId="FooterChar">
    <w:name w:val="Footer Char"/>
    <w:basedOn w:val="DefaultParagraphFont"/>
    <w:link w:val="Footer"/>
    <w:uiPriority w:val="99"/>
    <w:rsid w:val="00156C3A"/>
  </w:style>
  <w:style w:type="character" w:customStyle="1" w:styleId="Heading1Char">
    <w:name w:val="Heading 1 Char"/>
    <w:basedOn w:val="DefaultParagraphFont"/>
    <w:link w:val="Heading1"/>
    <w:uiPriority w:val="9"/>
    <w:rsid w:val="00E665AB"/>
    <w:rPr>
      <w:rFonts w:ascii="Arial" w:eastAsiaTheme="majorEastAsia" w:hAnsi="Arial" w:cstheme="majorBidi"/>
      <w:b/>
      <w:color w:val="95314E"/>
      <w:sz w:val="32"/>
      <w:szCs w:val="32"/>
    </w:rPr>
  </w:style>
  <w:style w:type="paragraph" w:styleId="Title">
    <w:name w:val="Title"/>
    <w:basedOn w:val="Normal"/>
    <w:next w:val="Normal"/>
    <w:link w:val="TitleChar"/>
    <w:uiPriority w:val="10"/>
    <w:qFormat/>
    <w:rsid w:val="001858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87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1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5CF9"/>
    <w:pPr>
      <w:outlineLvl w:val="9"/>
    </w:pPr>
    <w:rPr>
      <w:rFonts w:asciiTheme="majorHAnsi" w:hAnsiTheme="majorHAnsi"/>
      <w:b w:val="0"/>
      <w:color w:val="2F5496" w:themeColor="accent1" w:themeShade="BF"/>
      <w:lang w:val="en-US"/>
    </w:rPr>
  </w:style>
  <w:style w:type="paragraph" w:styleId="TOC2">
    <w:name w:val="toc 2"/>
    <w:basedOn w:val="Normal"/>
    <w:next w:val="Normal"/>
    <w:autoRedefine/>
    <w:uiPriority w:val="39"/>
    <w:unhideWhenUsed/>
    <w:rsid w:val="003C2605"/>
    <w:pPr>
      <w:ind w:left="221"/>
    </w:pPr>
    <w:rPr>
      <w:rFonts w:eastAsiaTheme="minorEastAsia" w:cs="Times New Roman"/>
      <w:color w:val="2F5496" w:themeColor="accent1" w:themeShade="BF"/>
      <w:lang w:val="en-US"/>
    </w:rPr>
  </w:style>
  <w:style w:type="paragraph" w:styleId="TOC1">
    <w:name w:val="toc 1"/>
    <w:basedOn w:val="Normal"/>
    <w:next w:val="Normal"/>
    <w:autoRedefine/>
    <w:uiPriority w:val="39"/>
    <w:unhideWhenUsed/>
    <w:rsid w:val="003C2605"/>
    <w:rPr>
      <w:rFonts w:eastAsiaTheme="minorEastAsia" w:cs="Times New Roman"/>
      <w:color w:val="2F5496" w:themeColor="accent1" w:themeShade="BF"/>
      <w:lang w:val="en-US"/>
    </w:rPr>
  </w:style>
  <w:style w:type="paragraph" w:styleId="TOC3">
    <w:name w:val="toc 3"/>
    <w:basedOn w:val="Normal"/>
    <w:next w:val="Normal"/>
    <w:autoRedefine/>
    <w:uiPriority w:val="39"/>
    <w:unhideWhenUsed/>
    <w:rsid w:val="003C2605"/>
    <w:pPr>
      <w:spacing w:after="100"/>
    </w:pPr>
    <w:rPr>
      <w:rFonts w:asciiTheme="minorHAnsi" w:eastAsiaTheme="minorEastAsia" w:hAnsiTheme="minorHAnsi" w:cs="Times New Roman"/>
      <w:color w:val="auto"/>
      <w:lang w:val="en-US"/>
    </w:rPr>
  </w:style>
  <w:style w:type="character" w:styleId="Hyperlink">
    <w:name w:val="Hyperlink"/>
    <w:basedOn w:val="DefaultParagraphFont"/>
    <w:uiPriority w:val="99"/>
    <w:unhideWhenUsed/>
    <w:rsid w:val="003C2605"/>
    <w:rPr>
      <w:color w:val="0563C1" w:themeColor="hyperlink"/>
      <w:u w:val="single"/>
    </w:rPr>
  </w:style>
  <w:style w:type="paragraph" w:styleId="ListParagraph">
    <w:name w:val="List Paragraph"/>
    <w:basedOn w:val="Normal"/>
    <w:uiPriority w:val="34"/>
    <w:qFormat/>
    <w:rsid w:val="0086454C"/>
    <w:pPr>
      <w:numPr>
        <w:numId w:val="1"/>
      </w:numPr>
      <w:suppressAutoHyphens/>
      <w:spacing w:after="200" w:line="276" w:lineRule="atLeast"/>
    </w:pPr>
    <w:rPr>
      <w:rFonts w:eastAsia="Times New Roman" w:cs="Arial"/>
      <w:szCs w:val="20"/>
      <w:lang w:eastAsia="zh-CN"/>
    </w:rPr>
  </w:style>
  <w:style w:type="paragraph" w:customStyle="1" w:styleId="CharCharCharCharCharChar">
    <w:name w:val="Char Char Char Char Char Char"/>
    <w:basedOn w:val="Normal"/>
    <w:rsid w:val="00D85CFB"/>
    <w:pPr>
      <w:spacing w:after="160" w:line="240" w:lineRule="exact"/>
    </w:pPr>
    <w:rPr>
      <w:rFonts w:ascii="Verdana" w:eastAsia="Times New Roman" w:hAnsi="Verdana" w:cs="Times New Roman"/>
      <w:color w:val="auto"/>
      <w:sz w:val="20"/>
      <w:szCs w:val="20"/>
      <w:lang w:val="en-US"/>
    </w:rPr>
  </w:style>
  <w:style w:type="paragraph" w:customStyle="1" w:styleId="Default">
    <w:name w:val="Default"/>
    <w:rsid w:val="002A29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2214">
      <w:bodyDiv w:val="1"/>
      <w:marLeft w:val="0"/>
      <w:marRight w:val="0"/>
      <w:marTop w:val="0"/>
      <w:marBottom w:val="0"/>
      <w:divBdr>
        <w:top w:val="none" w:sz="0" w:space="0" w:color="auto"/>
        <w:left w:val="none" w:sz="0" w:space="0" w:color="auto"/>
        <w:bottom w:val="none" w:sz="0" w:space="0" w:color="auto"/>
        <w:right w:val="none" w:sz="0" w:space="0" w:color="auto"/>
      </w:divBdr>
    </w:div>
    <w:div w:id="334458217">
      <w:bodyDiv w:val="1"/>
      <w:marLeft w:val="0"/>
      <w:marRight w:val="0"/>
      <w:marTop w:val="0"/>
      <w:marBottom w:val="0"/>
      <w:divBdr>
        <w:top w:val="none" w:sz="0" w:space="0" w:color="auto"/>
        <w:left w:val="none" w:sz="0" w:space="0" w:color="auto"/>
        <w:bottom w:val="none" w:sz="0" w:space="0" w:color="auto"/>
        <w:right w:val="none" w:sz="0" w:space="0" w:color="auto"/>
      </w:divBdr>
    </w:div>
    <w:div w:id="668561620">
      <w:bodyDiv w:val="1"/>
      <w:marLeft w:val="0"/>
      <w:marRight w:val="0"/>
      <w:marTop w:val="0"/>
      <w:marBottom w:val="0"/>
      <w:divBdr>
        <w:top w:val="none" w:sz="0" w:space="0" w:color="auto"/>
        <w:left w:val="none" w:sz="0" w:space="0" w:color="auto"/>
        <w:bottom w:val="none" w:sz="0" w:space="0" w:color="auto"/>
        <w:right w:val="none" w:sz="0" w:space="0" w:color="auto"/>
      </w:divBdr>
    </w:div>
    <w:div w:id="16195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sa.scot/civicrm/mailing/view?id=1352&amp;reset=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fulton-dick.INT\AppData\Local\Microsoft\Windows\INetCache\Content.Outlook\X9LWC6A8\Complaints%20Handling%20Yearl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C4723-1CA0-497C-8EDF-6496A984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Complaints Handling Yearly Report</Template>
  <TotalTime>38</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Complaints Handling Yearly Report 2021-22</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Handling Yearly Report 2021-22</dc:title>
  <dc:subject/>
  <dc:creator>Claire Fulton-Dick</dc:creator>
  <cp:keywords/>
  <dc:description/>
  <cp:lastModifiedBy>Claire Fulton-Dick</cp:lastModifiedBy>
  <cp:revision>17</cp:revision>
  <dcterms:created xsi:type="dcterms:W3CDTF">2024-02-08T12:31:00Z</dcterms:created>
  <dcterms:modified xsi:type="dcterms:W3CDTF">2024-05-02T09:58:00Z</dcterms:modified>
</cp:coreProperties>
</file>