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8466" w14:textId="44F7A8D5" w:rsidR="008E3323" w:rsidRPr="008D0E95" w:rsidRDefault="00081C10" w:rsidP="008D0E95">
      <w:pPr>
        <w:pStyle w:val="Heading1"/>
        <w:rPr>
          <w:b w:val="0"/>
          <w:lang w:eastAsia="en-GB"/>
        </w:rPr>
      </w:pPr>
      <w:r w:rsidRPr="008D0E95">
        <w:rPr>
          <w:lang w:eastAsia="en-GB"/>
        </w:rPr>
        <w:t>Edinburgh College Terms and conditions for the payment of tuition fees – guidance for students</w:t>
      </w:r>
    </w:p>
    <w:p w14:paraId="7E637C1E" w14:textId="77777777" w:rsidR="00C808B3" w:rsidRPr="008D0E95" w:rsidRDefault="00C808B3" w:rsidP="008D0E95">
      <w:pPr>
        <w:pStyle w:val="ListParagraph"/>
        <w:rPr>
          <w:rFonts w:ascii="Arial" w:eastAsia="Arial" w:hAnsi="Arial" w:cs="Arial"/>
          <w:sz w:val="22"/>
          <w:szCs w:val="22"/>
          <w:lang w:eastAsia="en-GB"/>
        </w:rPr>
      </w:pPr>
    </w:p>
    <w:p w14:paraId="499D7466" w14:textId="22C1E587" w:rsidR="002F4AA0" w:rsidRPr="008D380E" w:rsidRDefault="00C808B3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>T</w:t>
      </w:r>
      <w:r w:rsidR="00E22C61" w:rsidRPr="008D380E">
        <w:rPr>
          <w:rFonts w:ascii="Arial" w:eastAsia="Arial" w:hAnsi="Arial" w:cs="Arial"/>
          <w:szCs w:val="24"/>
          <w:lang w:eastAsia="en-GB"/>
        </w:rPr>
        <w:t xml:space="preserve">he </w:t>
      </w:r>
      <w:r w:rsidR="005B3AD4" w:rsidRPr="008D380E">
        <w:rPr>
          <w:rFonts w:ascii="Arial" w:eastAsia="Arial" w:hAnsi="Arial" w:cs="Arial"/>
          <w:szCs w:val="24"/>
          <w:lang w:eastAsia="en-GB"/>
        </w:rPr>
        <w:t xml:space="preserve">Edinburgh </w:t>
      </w:r>
      <w:r w:rsidR="00E22C61" w:rsidRPr="008D380E">
        <w:rPr>
          <w:rFonts w:ascii="Arial" w:eastAsia="Arial" w:hAnsi="Arial" w:cs="Arial"/>
          <w:szCs w:val="24"/>
          <w:lang w:eastAsia="en-GB"/>
        </w:rPr>
        <w:t>College Tuition Fee Policy states that all fees are payable in advance, unless funded by the Student Awards Agency for Scotland (SAAS) or Student Finance (Engla</w:t>
      </w:r>
      <w:r w:rsidR="00CC08AE" w:rsidRPr="008D380E">
        <w:rPr>
          <w:rFonts w:ascii="Arial" w:eastAsia="Arial" w:hAnsi="Arial" w:cs="Arial"/>
          <w:szCs w:val="24"/>
          <w:lang w:eastAsia="en-GB"/>
        </w:rPr>
        <w:t xml:space="preserve">nd, Northern </w:t>
      </w:r>
      <w:r w:rsidR="2022F1C4" w:rsidRPr="008D380E">
        <w:rPr>
          <w:rFonts w:ascii="Arial" w:eastAsia="Arial" w:hAnsi="Arial" w:cs="Arial"/>
          <w:szCs w:val="24"/>
          <w:lang w:eastAsia="en-GB"/>
        </w:rPr>
        <w:t>Ireland,</w:t>
      </w:r>
      <w:r w:rsidR="00CC08AE" w:rsidRPr="008D380E">
        <w:rPr>
          <w:rFonts w:ascii="Arial" w:eastAsia="Arial" w:hAnsi="Arial" w:cs="Arial"/>
          <w:szCs w:val="24"/>
          <w:lang w:eastAsia="en-GB"/>
        </w:rPr>
        <w:t xml:space="preserve"> and Wales)</w:t>
      </w:r>
      <w:r w:rsidR="003B676C" w:rsidRPr="008D380E">
        <w:rPr>
          <w:rFonts w:ascii="Arial" w:eastAsia="Arial" w:hAnsi="Arial" w:cs="Arial"/>
          <w:szCs w:val="24"/>
          <w:lang w:eastAsia="en-GB"/>
        </w:rPr>
        <w:t xml:space="preserve"> and </w:t>
      </w:r>
      <w:r w:rsidR="00E22C61" w:rsidRPr="008D380E">
        <w:rPr>
          <w:rFonts w:ascii="Arial" w:eastAsia="Arial" w:hAnsi="Arial" w:cs="Arial"/>
          <w:szCs w:val="24"/>
          <w:lang w:eastAsia="en-GB"/>
        </w:rPr>
        <w:t xml:space="preserve">are non-returnable except in exceptional circumstances and subject to annual revision. </w:t>
      </w:r>
      <w:r w:rsidR="005D7A98" w:rsidRPr="008D380E">
        <w:rPr>
          <w:rFonts w:ascii="Arial" w:eastAsia="Arial" w:hAnsi="Arial" w:cs="Arial"/>
          <w:szCs w:val="24"/>
          <w:lang w:eastAsia="en-GB"/>
        </w:rPr>
        <w:t>The College will waive the fees of any student entitled to support under the Scottish Funding Council (SFC) Fee Waiver Grant Policy when studying on an eligible course.</w:t>
      </w:r>
      <w:r w:rsidR="3F7261D0" w:rsidRPr="008D380E">
        <w:rPr>
          <w:rFonts w:ascii="Arial" w:eastAsia="Arial" w:hAnsi="Arial" w:cs="Arial"/>
          <w:szCs w:val="24"/>
          <w:lang w:eastAsia="en-GB"/>
        </w:rPr>
        <w:t xml:space="preserve"> </w:t>
      </w:r>
      <w:r w:rsidR="002F4AA0" w:rsidRPr="008D380E">
        <w:rPr>
          <w:rFonts w:ascii="Arial" w:eastAsia="Arial" w:hAnsi="Arial" w:cs="Arial"/>
          <w:szCs w:val="24"/>
          <w:lang w:eastAsia="en-GB"/>
        </w:rPr>
        <w:t>Other</w:t>
      </w:r>
      <w:r w:rsidR="0070019B" w:rsidRPr="008D380E">
        <w:rPr>
          <w:rFonts w:ascii="Arial" w:eastAsia="Arial" w:hAnsi="Arial" w:cs="Arial"/>
          <w:szCs w:val="24"/>
          <w:lang w:eastAsia="en-GB"/>
        </w:rPr>
        <w:t xml:space="preserve"> part</w:t>
      </w:r>
      <w:r w:rsidR="74EB19F6" w:rsidRPr="008D380E">
        <w:rPr>
          <w:rFonts w:ascii="Arial" w:eastAsia="Arial" w:hAnsi="Arial" w:cs="Arial"/>
          <w:szCs w:val="24"/>
          <w:lang w:eastAsia="en-GB"/>
        </w:rPr>
        <w:t>-</w:t>
      </w:r>
      <w:r w:rsidR="0070019B" w:rsidRPr="008D380E">
        <w:rPr>
          <w:rFonts w:ascii="Arial" w:eastAsia="Arial" w:hAnsi="Arial" w:cs="Arial"/>
          <w:szCs w:val="24"/>
          <w:lang w:eastAsia="en-GB"/>
        </w:rPr>
        <w:t>time students may be eligible for a part-time fee grant from SAAS</w:t>
      </w:r>
      <w:r w:rsidR="00CC08AE" w:rsidRPr="008D380E">
        <w:rPr>
          <w:rFonts w:ascii="Arial" w:eastAsia="Arial" w:hAnsi="Arial" w:cs="Arial"/>
          <w:szCs w:val="24"/>
          <w:lang w:eastAsia="en-GB"/>
        </w:rPr>
        <w:t xml:space="preserve"> towards t</w:t>
      </w:r>
      <w:r w:rsidR="05598720" w:rsidRPr="008D380E">
        <w:rPr>
          <w:rFonts w:ascii="Arial" w:eastAsia="Arial" w:hAnsi="Arial" w:cs="Arial"/>
          <w:szCs w:val="24"/>
          <w:lang w:eastAsia="en-GB"/>
        </w:rPr>
        <w:t xml:space="preserve">he </w:t>
      </w:r>
      <w:r w:rsidR="00CC08AE" w:rsidRPr="008D380E">
        <w:rPr>
          <w:rFonts w:ascii="Arial" w:eastAsia="Arial" w:hAnsi="Arial" w:cs="Arial"/>
          <w:szCs w:val="24"/>
          <w:lang w:eastAsia="en-GB"/>
        </w:rPr>
        <w:t>cost of tuition</w:t>
      </w:r>
      <w:r w:rsidR="002F4AA0" w:rsidRPr="008D380E">
        <w:rPr>
          <w:rFonts w:ascii="Arial" w:eastAsia="Arial" w:hAnsi="Arial" w:cs="Arial"/>
          <w:szCs w:val="24"/>
          <w:lang w:eastAsia="en-GB"/>
        </w:rPr>
        <w:t xml:space="preserve"> fees</w:t>
      </w:r>
      <w:r w:rsidR="34B73992" w:rsidRPr="008D380E">
        <w:rPr>
          <w:rFonts w:ascii="Arial" w:eastAsia="Arial" w:hAnsi="Arial" w:cs="Arial"/>
          <w:szCs w:val="24"/>
          <w:lang w:eastAsia="en-GB"/>
        </w:rPr>
        <w:t xml:space="preserve"> or for an Individual </w:t>
      </w:r>
      <w:r w:rsidR="00EA3CE9" w:rsidRPr="008D380E">
        <w:rPr>
          <w:rFonts w:ascii="Arial" w:eastAsia="Arial" w:hAnsi="Arial" w:cs="Arial"/>
          <w:szCs w:val="24"/>
          <w:lang w:eastAsia="en-GB"/>
        </w:rPr>
        <w:t xml:space="preserve">dual </w:t>
      </w:r>
      <w:r w:rsidR="000B58A6" w:rsidRPr="008D380E">
        <w:rPr>
          <w:rFonts w:ascii="Arial" w:eastAsia="Arial" w:hAnsi="Arial" w:cs="Arial"/>
          <w:szCs w:val="24"/>
          <w:lang w:eastAsia="en-GB"/>
        </w:rPr>
        <w:t>Training</w:t>
      </w:r>
      <w:r w:rsidR="00EA3CE9" w:rsidRPr="008D380E">
        <w:rPr>
          <w:rFonts w:ascii="Arial" w:eastAsia="Arial" w:hAnsi="Arial" w:cs="Arial"/>
          <w:szCs w:val="24"/>
          <w:lang w:eastAsia="en-GB"/>
        </w:rPr>
        <w:t xml:space="preserve"> Account (I</w:t>
      </w:r>
      <w:r w:rsidR="000B58A6" w:rsidRPr="008D380E">
        <w:rPr>
          <w:rFonts w:ascii="Arial" w:eastAsia="Arial" w:hAnsi="Arial" w:cs="Arial"/>
          <w:szCs w:val="24"/>
          <w:lang w:eastAsia="en-GB"/>
        </w:rPr>
        <w:t>T</w:t>
      </w:r>
      <w:r w:rsidR="00EA3CE9" w:rsidRPr="008D380E">
        <w:rPr>
          <w:rFonts w:ascii="Arial" w:eastAsia="Arial" w:hAnsi="Arial" w:cs="Arial"/>
          <w:szCs w:val="24"/>
          <w:lang w:eastAsia="en-GB"/>
        </w:rPr>
        <w:t>A) from Skills Development Scotland.</w:t>
      </w:r>
      <w:r w:rsidR="00FE2FF9" w:rsidRPr="008D380E">
        <w:rPr>
          <w:rFonts w:ascii="Arial" w:eastAsia="Arial" w:hAnsi="Arial" w:cs="Arial"/>
          <w:szCs w:val="24"/>
          <w:lang w:eastAsia="en-GB"/>
        </w:rPr>
        <w:t xml:space="preserve"> For additional information, please refer </w:t>
      </w:r>
      <w:r w:rsidR="009A6475" w:rsidRPr="008D380E">
        <w:rPr>
          <w:rFonts w:ascii="Arial" w:eastAsia="Arial" w:hAnsi="Arial" w:cs="Arial"/>
          <w:szCs w:val="24"/>
          <w:lang w:eastAsia="en-GB"/>
        </w:rPr>
        <w:t>to</w:t>
      </w:r>
      <w:r w:rsidR="00F90058" w:rsidRPr="008D380E">
        <w:rPr>
          <w:rFonts w:ascii="Arial" w:eastAsia="Arial" w:hAnsi="Arial" w:cs="Arial"/>
          <w:szCs w:val="24"/>
          <w:lang w:eastAsia="en-GB"/>
        </w:rPr>
        <w:t xml:space="preserve"> </w:t>
      </w:r>
      <w:hyperlink r:id="rId7">
        <w:r w:rsidR="00F90058" w:rsidRPr="008D380E">
          <w:rPr>
            <w:rStyle w:val="Hyperlink"/>
            <w:rFonts w:ascii="Arial" w:eastAsia="Arial" w:hAnsi="Arial" w:cs="Arial"/>
            <w:color w:val="auto"/>
            <w:szCs w:val="24"/>
            <w:lang w:eastAsia="en-GB"/>
          </w:rPr>
          <w:t>Student Funding and Fees</w:t>
        </w:r>
      </w:hyperlink>
      <w:r w:rsidR="00F90058" w:rsidRPr="008D380E">
        <w:rPr>
          <w:rFonts w:ascii="Arial" w:eastAsia="Arial" w:hAnsi="Arial" w:cs="Arial"/>
          <w:szCs w:val="24"/>
          <w:lang w:eastAsia="en-GB"/>
        </w:rPr>
        <w:t xml:space="preserve"> </w:t>
      </w:r>
      <w:r w:rsidR="00FE2FF9" w:rsidRPr="008D380E">
        <w:rPr>
          <w:rFonts w:ascii="Arial" w:eastAsia="Arial" w:hAnsi="Arial" w:cs="Arial"/>
          <w:szCs w:val="24"/>
          <w:lang w:eastAsia="en-GB"/>
        </w:rPr>
        <w:t xml:space="preserve">on the website. </w:t>
      </w:r>
    </w:p>
    <w:p w14:paraId="38873D4E" w14:textId="77777777" w:rsidR="00BA6063" w:rsidRPr="008D380E" w:rsidRDefault="00BA6063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>Students are responsible for providing correct information where their fees may be funded by Fee Waiver, SAAS, I</w:t>
      </w:r>
      <w:r w:rsidR="000B58A6" w:rsidRPr="008D380E">
        <w:rPr>
          <w:rFonts w:ascii="Arial" w:eastAsia="Arial" w:hAnsi="Arial" w:cs="Arial"/>
          <w:szCs w:val="24"/>
          <w:lang w:eastAsia="en-GB"/>
        </w:rPr>
        <w:t>T</w:t>
      </w:r>
      <w:r w:rsidRPr="008D380E">
        <w:rPr>
          <w:rFonts w:ascii="Arial" w:eastAsia="Arial" w:hAnsi="Arial" w:cs="Arial"/>
          <w:szCs w:val="24"/>
          <w:lang w:eastAsia="en-GB"/>
        </w:rPr>
        <w:t xml:space="preserve">A, Employers or Sponsors. If </w:t>
      </w:r>
      <w:r w:rsidR="00791FA1" w:rsidRPr="008D380E">
        <w:rPr>
          <w:rFonts w:ascii="Arial" w:eastAsia="Arial" w:hAnsi="Arial" w:cs="Arial"/>
          <w:szCs w:val="24"/>
          <w:lang w:eastAsia="en-GB"/>
        </w:rPr>
        <w:t>in</w:t>
      </w:r>
      <w:r w:rsidRPr="008D380E">
        <w:rPr>
          <w:rFonts w:ascii="Arial" w:eastAsia="Arial" w:hAnsi="Arial" w:cs="Arial"/>
          <w:szCs w:val="24"/>
          <w:lang w:eastAsia="en-GB"/>
        </w:rPr>
        <w:t xml:space="preserve">correct </w:t>
      </w:r>
      <w:r w:rsidR="00D873FD" w:rsidRPr="008D380E">
        <w:rPr>
          <w:rFonts w:ascii="Arial" w:eastAsia="Arial" w:hAnsi="Arial" w:cs="Arial"/>
          <w:szCs w:val="24"/>
          <w:lang w:eastAsia="en-GB"/>
        </w:rPr>
        <w:t>or late information is</w:t>
      </w:r>
      <w:r w:rsidRPr="008D380E">
        <w:rPr>
          <w:rFonts w:ascii="Arial" w:eastAsia="Arial" w:hAnsi="Arial" w:cs="Arial"/>
          <w:szCs w:val="24"/>
          <w:lang w:eastAsia="en-GB"/>
        </w:rPr>
        <w:t xml:space="preserve"> provided</w:t>
      </w:r>
      <w:r w:rsidR="005F760F" w:rsidRPr="008D380E">
        <w:rPr>
          <w:rFonts w:ascii="Arial" w:eastAsia="Arial" w:hAnsi="Arial" w:cs="Arial"/>
          <w:szCs w:val="24"/>
          <w:lang w:eastAsia="en-GB"/>
        </w:rPr>
        <w:t>, the</w:t>
      </w:r>
      <w:r w:rsidRPr="008D380E">
        <w:rPr>
          <w:rFonts w:ascii="Arial" w:eastAsia="Arial" w:hAnsi="Arial" w:cs="Arial"/>
          <w:szCs w:val="24"/>
          <w:lang w:eastAsia="en-GB"/>
        </w:rPr>
        <w:t xml:space="preserve"> student will be held personally liable for</w:t>
      </w:r>
      <w:r w:rsidR="00D873FD" w:rsidRPr="008D380E">
        <w:rPr>
          <w:rFonts w:ascii="Arial" w:eastAsia="Arial" w:hAnsi="Arial" w:cs="Arial"/>
          <w:szCs w:val="24"/>
          <w:lang w:eastAsia="en-GB"/>
        </w:rPr>
        <w:t xml:space="preserve"> any outstanding fee payments.</w:t>
      </w:r>
    </w:p>
    <w:p w14:paraId="3747A16B" w14:textId="44D8E7A2" w:rsidR="005D7A98" w:rsidRPr="008D380E" w:rsidRDefault="00D55542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>There may be support for the payment of fees from government training schemes. Please contact student services for further guidance.</w:t>
      </w:r>
    </w:p>
    <w:p w14:paraId="520855AB" w14:textId="77777777" w:rsidR="00E22C61" w:rsidRPr="008D380E" w:rsidRDefault="00E22C61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>Students starting pr</w:t>
      </w:r>
      <w:r w:rsidR="005D7A98" w:rsidRPr="008D380E">
        <w:rPr>
          <w:rFonts w:ascii="Arial" w:eastAsia="Arial" w:hAnsi="Arial" w:cs="Arial"/>
          <w:szCs w:val="24"/>
          <w:lang w:eastAsia="en-GB"/>
        </w:rPr>
        <w:t>ogrammes of study should be</w:t>
      </w:r>
      <w:r w:rsidRPr="008D380E">
        <w:rPr>
          <w:rFonts w:ascii="Arial" w:eastAsia="Arial" w:hAnsi="Arial" w:cs="Arial"/>
          <w:szCs w:val="24"/>
          <w:lang w:eastAsia="en-GB"/>
        </w:rPr>
        <w:t xml:space="preserve"> aware that tuition fees may increase year on year. </w:t>
      </w:r>
    </w:p>
    <w:p w14:paraId="24CB6C1F" w14:textId="28265D22" w:rsidR="00EA3CE9" w:rsidRPr="008D380E" w:rsidRDefault="00E22C61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>The payment of fees is th</w:t>
      </w:r>
      <w:r w:rsidR="00CC08AE" w:rsidRPr="008D380E">
        <w:rPr>
          <w:rFonts w:ascii="Arial" w:eastAsia="Arial" w:hAnsi="Arial" w:cs="Arial"/>
          <w:szCs w:val="24"/>
          <w:lang w:eastAsia="en-GB"/>
        </w:rPr>
        <w:t>e responsibility of the student. If fees are to be funded by SAAS</w:t>
      </w:r>
      <w:r w:rsidR="00991381" w:rsidRPr="008D380E">
        <w:rPr>
          <w:rFonts w:ascii="Arial" w:eastAsia="Arial" w:hAnsi="Arial" w:cs="Arial"/>
          <w:szCs w:val="24"/>
          <w:lang w:eastAsia="en-GB"/>
        </w:rPr>
        <w:t xml:space="preserve"> (including the part-time fee grant), </w:t>
      </w:r>
      <w:r w:rsidR="00CC08AE" w:rsidRPr="008D380E">
        <w:rPr>
          <w:rFonts w:ascii="Arial" w:eastAsia="Arial" w:hAnsi="Arial" w:cs="Arial"/>
          <w:szCs w:val="24"/>
          <w:lang w:eastAsia="en-GB"/>
        </w:rPr>
        <w:t>Student Finance</w:t>
      </w:r>
      <w:r w:rsidR="00EA3CE9" w:rsidRPr="008D380E">
        <w:rPr>
          <w:rFonts w:ascii="Arial" w:eastAsia="Arial" w:hAnsi="Arial" w:cs="Arial"/>
          <w:szCs w:val="24"/>
          <w:lang w:eastAsia="en-GB"/>
        </w:rPr>
        <w:t>, Fee Waiver or I</w:t>
      </w:r>
      <w:r w:rsidR="000B58A6" w:rsidRPr="008D380E">
        <w:rPr>
          <w:rFonts w:ascii="Arial" w:eastAsia="Arial" w:hAnsi="Arial" w:cs="Arial"/>
          <w:szCs w:val="24"/>
          <w:lang w:eastAsia="en-GB"/>
        </w:rPr>
        <w:t>T</w:t>
      </w:r>
      <w:r w:rsidR="00C23EA3" w:rsidRPr="008D380E">
        <w:rPr>
          <w:rFonts w:ascii="Arial" w:eastAsia="Arial" w:hAnsi="Arial" w:cs="Arial"/>
          <w:szCs w:val="24"/>
          <w:lang w:eastAsia="en-GB"/>
        </w:rPr>
        <w:t xml:space="preserve">A, it is the responsibility of </w:t>
      </w:r>
      <w:r w:rsidR="00EA3CE9" w:rsidRPr="008D380E">
        <w:rPr>
          <w:rFonts w:ascii="Arial" w:eastAsia="Arial" w:hAnsi="Arial" w:cs="Arial"/>
          <w:szCs w:val="24"/>
          <w:lang w:eastAsia="en-GB"/>
        </w:rPr>
        <w:t>the student to appl</w:t>
      </w:r>
      <w:r w:rsidR="005B1E68" w:rsidRPr="008D380E">
        <w:rPr>
          <w:rFonts w:ascii="Arial" w:eastAsia="Arial" w:hAnsi="Arial" w:cs="Arial"/>
          <w:szCs w:val="24"/>
          <w:lang w:eastAsia="en-GB"/>
        </w:rPr>
        <w:t>y to ensure funding is in place before the start of the course and inform the College</w:t>
      </w:r>
      <w:r w:rsidR="00991381" w:rsidRPr="008D380E">
        <w:rPr>
          <w:rFonts w:ascii="Arial" w:eastAsia="Arial" w:hAnsi="Arial" w:cs="Arial"/>
          <w:szCs w:val="24"/>
          <w:lang w:eastAsia="en-GB"/>
        </w:rPr>
        <w:t xml:space="preserve"> of their award</w:t>
      </w:r>
      <w:r w:rsidR="005B1E68" w:rsidRPr="008D380E">
        <w:rPr>
          <w:rFonts w:ascii="Arial" w:eastAsia="Arial" w:hAnsi="Arial" w:cs="Arial"/>
          <w:szCs w:val="24"/>
          <w:lang w:eastAsia="en-GB"/>
        </w:rPr>
        <w:t>.</w:t>
      </w:r>
      <w:r w:rsidR="222E3C0B" w:rsidRPr="008D380E">
        <w:rPr>
          <w:rFonts w:ascii="Arial" w:eastAsia="Arial" w:hAnsi="Arial" w:cs="Arial"/>
          <w:szCs w:val="24"/>
          <w:lang w:eastAsia="en-GB"/>
        </w:rPr>
        <w:t xml:space="preserve"> </w:t>
      </w:r>
      <w:r w:rsidR="000F2AB4" w:rsidRPr="008D380E">
        <w:rPr>
          <w:rFonts w:ascii="Arial" w:eastAsia="Arial" w:hAnsi="Arial" w:cs="Arial"/>
          <w:szCs w:val="24"/>
          <w:lang w:eastAsia="en-GB"/>
        </w:rPr>
        <w:t xml:space="preserve">If not </w:t>
      </w:r>
      <w:r w:rsidR="139D40B1" w:rsidRPr="008D380E">
        <w:rPr>
          <w:rFonts w:ascii="Arial" w:eastAsia="Arial" w:hAnsi="Arial" w:cs="Arial"/>
          <w:szCs w:val="24"/>
          <w:lang w:eastAsia="en-GB"/>
        </w:rPr>
        <w:t>awarded,</w:t>
      </w:r>
      <w:r w:rsidR="000F2AB4" w:rsidRPr="008D380E">
        <w:rPr>
          <w:rFonts w:ascii="Arial" w:eastAsia="Arial" w:hAnsi="Arial" w:cs="Arial"/>
          <w:szCs w:val="24"/>
          <w:lang w:eastAsia="en-GB"/>
        </w:rPr>
        <w:t xml:space="preserve"> the stud</w:t>
      </w:r>
      <w:r w:rsidR="003B676C" w:rsidRPr="008D380E">
        <w:rPr>
          <w:rFonts w:ascii="Arial" w:eastAsia="Arial" w:hAnsi="Arial" w:cs="Arial"/>
          <w:szCs w:val="24"/>
          <w:lang w:eastAsia="en-GB"/>
        </w:rPr>
        <w:t xml:space="preserve">ent will be liable for the fees </w:t>
      </w:r>
      <w:r w:rsidR="007366F1" w:rsidRPr="008D380E">
        <w:rPr>
          <w:rFonts w:ascii="Arial" w:eastAsia="Arial" w:hAnsi="Arial" w:cs="Arial"/>
          <w:szCs w:val="24"/>
          <w:lang w:eastAsia="en-GB"/>
        </w:rPr>
        <w:t>even</w:t>
      </w:r>
      <w:r w:rsidR="003B676C" w:rsidRPr="008D380E">
        <w:rPr>
          <w:rFonts w:ascii="Arial" w:eastAsia="Arial" w:hAnsi="Arial" w:cs="Arial"/>
          <w:szCs w:val="24"/>
          <w:lang w:eastAsia="en-GB"/>
        </w:rPr>
        <w:t xml:space="preserve"> if the student decides to withdraw.</w:t>
      </w:r>
    </w:p>
    <w:p w14:paraId="2AFFA36D" w14:textId="77777777" w:rsidR="00EA3CE9" w:rsidRPr="008D380E" w:rsidRDefault="00EA3CE9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b/>
          <w:bCs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>Where a student’s Employer or Sponsor is paying fees, it is the responsibility of the student to arrange for them to provide written authorisation to the College</w:t>
      </w:r>
      <w:r w:rsidR="005B1E68" w:rsidRPr="008D380E">
        <w:rPr>
          <w:rFonts w:ascii="Arial" w:eastAsia="Arial" w:hAnsi="Arial" w:cs="Arial"/>
          <w:szCs w:val="24"/>
          <w:lang w:eastAsia="en-GB"/>
        </w:rPr>
        <w:t xml:space="preserve"> before the start of the course</w:t>
      </w:r>
      <w:r w:rsidRPr="008D380E">
        <w:rPr>
          <w:rFonts w:ascii="Arial" w:eastAsia="Arial" w:hAnsi="Arial" w:cs="Arial"/>
          <w:szCs w:val="24"/>
          <w:lang w:eastAsia="en-GB"/>
        </w:rPr>
        <w:t>. I</w:t>
      </w:r>
      <w:r w:rsidR="00E22C61" w:rsidRPr="008D380E">
        <w:rPr>
          <w:rFonts w:ascii="Arial" w:eastAsia="Arial" w:hAnsi="Arial" w:cs="Arial"/>
          <w:szCs w:val="24"/>
          <w:lang w:eastAsia="en-GB"/>
        </w:rPr>
        <w:t>n the event of the Employer/Sponsor defaulting</w:t>
      </w:r>
      <w:r w:rsidRPr="008D380E">
        <w:rPr>
          <w:rFonts w:ascii="Arial" w:eastAsia="Arial" w:hAnsi="Arial" w:cs="Arial"/>
          <w:szCs w:val="24"/>
          <w:lang w:eastAsia="en-GB"/>
        </w:rPr>
        <w:t>,</w:t>
      </w:r>
      <w:r w:rsidR="00E22C61" w:rsidRPr="008D380E">
        <w:rPr>
          <w:rFonts w:ascii="Arial" w:eastAsia="Arial" w:hAnsi="Arial" w:cs="Arial"/>
          <w:szCs w:val="24"/>
          <w:lang w:eastAsia="en-GB"/>
        </w:rPr>
        <w:t xml:space="preserve"> the student will be held personally liable for </w:t>
      </w:r>
      <w:r w:rsidRPr="008D380E">
        <w:rPr>
          <w:rFonts w:ascii="Arial" w:eastAsia="Arial" w:hAnsi="Arial" w:cs="Arial"/>
          <w:szCs w:val="24"/>
          <w:lang w:eastAsia="en-GB"/>
        </w:rPr>
        <w:t xml:space="preserve">the </w:t>
      </w:r>
      <w:r w:rsidR="005B1E68" w:rsidRPr="008D380E">
        <w:rPr>
          <w:rFonts w:ascii="Arial" w:eastAsia="Arial" w:hAnsi="Arial" w:cs="Arial"/>
          <w:szCs w:val="24"/>
          <w:lang w:eastAsia="en-GB"/>
        </w:rPr>
        <w:t>fees</w:t>
      </w:r>
      <w:r w:rsidR="00E22C61" w:rsidRPr="008D380E">
        <w:rPr>
          <w:rFonts w:ascii="Arial" w:eastAsia="Arial" w:hAnsi="Arial" w:cs="Arial"/>
          <w:szCs w:val="24"/>
          <w:lang w:eastAsia="en-GB"/>
        </w:rPr>
        <w:t>.</w:t>
      </w:r>
    </w:p>
    <w:p w14:paraId="1AC55B3F" w14:textId="6109EA06" w:rsidR="00431539" w:rsidRPr="008D380E" w:rsidRDefault="00E22C61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 xml:space="preserve">If </w:t>
      </w:r>
      <w:r w:rsidR="522AD3E1" w:rsidRPr="008D380E">
        <w:rPr>
          <w:rFonts w:ascii="Arial" w:eastAsia="Arial" w:hAnsi="Arial" w:cs="Arial"/>
          <w:szCs w:val="24"/>
          <w:lang w:eastAsia="en-GB"/>
        </w:rPr>
        <w:t>self-funding</w:t>
      </w:r>
      <w:r w:rsidRPr="008D380E">
        <w:rPr>
          <w:rFonts w:ascii="Arial" w:eastAsia="Arial" w:hAnsi="Arial" w:cs="Arial"/>
          <w:szCs w:val="24"/>
          <w:lang w:eastAsia="en-GB"/>
        </w:rPr>
        <w:t xml:space="preserve"> students have not paid in full or do not have an approved </w:t>
      </w:r>
      <w:r w:rsidR="00145368" w:rsidRPr="008D380E">
        <w:rPr>
          <w:rFonts w:ascii="Arial" w:eastAsia="Arial" w:hAnsi="Arial" w:cs="Arial"/>
          <w:szCs w:val="24"/>
          <w:lang w:eastAsia="en-GB"/>
        </w:rPr>
        <w:t>instalment</w:t>
      </w:r>
      <w:r w:rsidRPr="008D380E">
        <w:rPr>
          <w:rFonts w:ascii="Arial" w:eastAsia="Arial" w:hAnsi="Arial" w:cs="Arial"/>
          <w:szCs w:val="24"/>
          <w:lang w:eastAsia="en-GB"/>
        </w:rPr>
        <w:t xml:space="preserve"> plan in place by the start of their </w:t>
      </w:r>
      <w:r w:rsidR="12CE1C5C" w:rsidRPr="008D380E">
        <w:rPr>
          <w:rFonts w:ascii="Arial" w:eastAsia="Arial" w:hAnsi="Arial" w:cs="Arial"/>
          <w:szCs w:val="24"/>
          <w:lang w:eastAsia="en-GB"/>
        </w:rPr>
        <w:t>course,</w:t>
      </w:r>
      <w:r w:rsidRPr="008D380E">
        <w:rPr>
          <w:rFonts w:ascii="Arial" w:eastAsia="Arial" w:hAnsi="Arial" w:cs="Arial"/>
          <w:szCs w:val="24"/>
          <w:lang w:eastAsia="en-GB"/>
        </w:rPr>
        <w:t xml:space="preserve"> they will not be allowed to commence their studies.</w:t>
      </w:r>
    </w:p>
    <w:p w14:paraId="613BF0D6" w14:textId="3D7339A3" w:rsidR="0094783C" w:rsidRPr="008D380E" w:rsidRDefault="0094783C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>Failure to adhere to a</w:t>
      </w:r>
      <w:r w:rsidR="00145368" w:rsidRPr="008D380E">
        <w:rPr>
          <w:rFonts w:ascii="Arial" w:eastAsia="Arial" w:hAnsi="Arial" w:cs="Arial"/>
          <w:szCs w:val="24"/>
          <w:lang w:eastAsia="en-GB"/>
        </w:rPr>
        <w:t xml:space="preserve">n instalment </w:t>
      </w:r>
      <w:r w:rsidRPr="008D380E">
        <w:rPr>
          <w:rFonts w:ascii="Arial" w:eastAsia="Arial" w:hAnsi="Arial" w:cs="Arial"/>
          <w:szCs w:val="24"/>
          <w:lang w:eastAsia="en-GB"/>
        </w:rPr>
        <w:t>plan may result in the withdrawal of the instalments facility and full payment will become due.</w:t>
      </w:r>
    </w:p>
    <w:p w14:paraId="53933308" w14:textId="5F6B6E67" w:rsidR="00333007" w:rsidRPr="008D380E" w:rsidRDefault="00145368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</w:rPr>
      </w:pPr>
      <w:r w:rsidRPr="008D380E">
        <w:rPr>
          <w:rFonts w:ascii="Arial" w:eastAsia="Arial" w:hAnsi="Arial" w:cs="Arial"/>
          <w:szCs w:val="24"/>
          <w:lang w:eastAsia="en-GB"/>
        </w:rPr>
        <w:t xml:space="preserve">Refunds will only be issued if the student meets the </w:t>
      </w:r>
      <w:r w:rsidR="00743070" w:rsidRPr="008D380E">
        <w:rPr>
          <w:rFonts w:ascii="Arial" w:eastAsia="Arial" w:hAnsi="Arial" w:cs="Arial"/>
          <w:szCs w:val="24"/>
          <w:lang w:eastAsia="en-GB"/>
        </w:rPr>
        <w:t xml:space="preserve">refund </w:t>
      </w:r>
      <w:r w:rsidRPr="008D380E">
        <w:rPr>
          <w:rFonts w:ascii="Arial" w:eastAsia="Arial" w:hAnsi="Arial" w:cs="Arial"/>
          <w:szCs w:val="24"/>
          <w:lang w:eastAsia="en-GB"/>
        </w:rPr>
        <w:t>cut off dates as specified in the College’s Tuition Fee Policy. A 10% administration charge will be deducted.</w:t>
      </w:r>
    </w:p>
    <w:p w14:paraId="60F4ADA3" w14:textId="74B4A052" w:rsidR="00E22C61" w:rsidRPr="008D380E" w:rsidRDefault="00AB3393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 xml:space="preserve">Refunds are not granted where a student remains on a course but claims a refund </w:t>
      </w:r>
      <w:r w:rsidR="0B85A1DA" w:rsidRPr="008D380E">
        <w:rPr>
          <w:rFonts w:ascii="Arial" w:eastAsia="Arial" w:hAnsi="Arial" w:cs="Arial"/>
          <w:szCs w:val="24"/>
          <w:lang w:eastAsia="en-GB"/>
        </w:rPr>
        <w:t>based on</w:t>
      </w:r>
      <w:r w:rsidRPr="008D380E">
        <w:rPr>
          <w:rFonts w:ascii="Arial" w:eastAsia="Arial" w:hAnsi="Arial" w:cs="Arial"/>
          <w:szCs w:val="24"/>
          <w:lang w:eastAsia="en-GB"/>
        </w:rPr>
        <w:t xml:space="preserve"> a change in circumstances</w:t>
      </w:r>
      <w:r w:rsidR="236552FD" w:rsidRPr="008D380E">
        <w:rPr>
          <w:rFonts w:ascii="Arial" w:eastAsia="Arial" w:hAnsi="Arial" w:cs="Arial"/>
          <w:szCs w:val="24"/>
          <w:lang w:eastAsia="en-GB"/>
        </w:rPr>
        <w:t xml:space="preserve">. </w:t>
      </w:r>
    </w:p>
    <w:p w14:paraId="25B63CFA" w14:textId="77777777" w:rsidR="00333007" w:rsidRPr="008D380E" w:rsidRDefault="00E22C61" w:rsidP="0022741B">
      <w:pPr>
        <w:pStyle w:val="ListParagraph"/>
        <w:numPr>
          <w:ilvl w:val="0"/>
          <w:numId w:val="6"/>
        </w:numPr>
        <w:spacing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lastRenderedPageBreak/>
        <w:t>A full refund (100%) will be offered if a course</w:t>
      </w:r>
      <w:r w:rsidR="00A83BFA" w:rsidRPr="008D380E">
        <w:rPr>
          <w:rFonts w:ascii="Arial" w:eastAsia="Arial" w:hAnsi="Arial" w:cs="Arial"/>
          <w:szCs w:val="24"/>
          <w:lang w:eastAsia="en-GB"/>
        </w:rPr>
        <w:t xml:space="preserve"> does not run / is</w:t>
      </w:r>
      <w:r w:rsidRPr="008D380E">
        <w:rPr>
          <w:rFonts w:ascii="Arial" w:eastAsia="Arial" w:hAnsi="Arial" w:cs="Arial"/>
          <w:szCs w:val="24"/>
          <w:lang w:eastAsia="en-GB"/>
        </w:rPr>
        <w:t xml:space="preserve"> cancelled by the College. </w:t>
      </w:r>
    </w:p>
    <w:p w14:paraId="5B4E18D6" w14:textId="70C555CB" w:rsidR="00E22C61" w:rsidRPr="008D380E" w:rsidRDefault="00E22C61" w:rsidP="0022741B">
      <w:pPr>
        <w:pStyle w:val="ListParagraph"/>
        <w:numPr>
          <w:ilvl w:val="0"/>
          <w:numId w:val="6"/>
        </w:numPr>
        <w:spacing w:before="100" w:beforeAutospacing="1"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 xml:space="preserve">Where a student withdraws </w:t>
      </w:r>
      <w:r w:rsidR="00A83BFA" w:rsidRPr="008D380E">
        <w:rPr>
          <w:rFonts w:ascii="Arial" w:eastAsia="Arial" w:hAnsi="Arial" w:cs="Arial"/>
          <w:szCs w:val="24"/>
          <w:lang w:eastAsia="en-GB"/>
        </w:rPr>
        <w:t>or is withdrawn</w:t>
      </w:r>
      <w:r w:rsidR="00145368" w:rsidRPr="008D380E">
        <w:rPr>
          <w:rFonts w:ascii="Arial" w:eastAsia="Arial" w:hAnsi="Arial" w:cs="Arial"/>
          <w:szCs w:val="24"/>
          <w:lang w:eastAsia="en-GB"/>
        </w:rPr>
        <w:t xml:space="preserve"> from a course, </w:t>
      </w:r>
      <w:r w:rsidR="00A83BFA" w:rsidRPr="008D380E">
        <w:rPr>
          <w:rFonts w:ascii="Arial" w:eastAsia="Arial" w:hAnsi="Arial" w:cs="Arial"/>
          <w:szCs w:val="24"/>
          <w:lang w:eastAsia="en-GB"/>
        </w:rPr>
        <w:t>by the College</w:t>
      </w:r>
      <w:r w:rsidR="00145368" w:rsidRPr="008D380E">
        <w:rPr>
          <w:rFonts w:ascii="Arial" w:eastAsia="Arial" w:hAnsi="Arial" w:cs="Arial"/>
          <w:szCs w:val="24"/>
          <w:lang w:eastAsia="en-GB"/>
        </w:rPr>
        <w:t xml:space="preserve"> </w:t>
      </w:r>
      <w:r w:rsidR="001873FD" w:rsidRPr="008D380E">
        <w:rPr>
          <w:rFonts w:ascii="Arial" w:eastAsia="Arial" w:hAnsi="Arial" w:cs="Arial"/>
          <w:szCs w:val="24"/>
          <w:lang w:eastAsia="en-GB"/>
        </w:rPr>
        <w:t>for non-attendance or non-submission of work</w:t>
      </w:r>
      <w:r w:rsidR="00145368" w:rsidRPr="008D380E">
        <w:rPr>
          <w:rFonts w:ascii="Arial" w:eastAsia="Arial" w:hAnsi="Arial" w:cs="Arial"/>
          <w:szCs w:val="24"/>
          <w:lang w:eastAsia="en-GB"/>
        </w:rPr>
        <w:t xml:space="preserve"> </w:t>
      </w:r>
      <w:r w:rsidRPr="008D380E">
        <w:rPr>
          <w:rFonts w:ascii="Arial" w:eastAsia="Arial" w:hAnsi="Arial" w:cs="Arial"/>
          <w:szCs w:val="24"/>
          <w:lang w:eastAsia="en-GB"/>
        </w:rPr>
        <w:t xml:space="preserve">prior to paying the fees </w:t>
      </w:r>
      <w:r w:rsidR="00A83BFA" w:rsidRPr="008D380E">
        <w:rPr>
          <w:rFonts w:ascii="Arial" w:eastAsia="Arial" w:hAnsi="Arial" w:cs="Arial"/>
          <w:szCs w:val="24"/>
          <w:lang w:eastAsia="en-GB"/>
        </w:rPr>
        <w:t xml:space="preserve">in full, </w:t>
      </w:r>
      <w:r w:rsidR="001873FD" w:rsidRPr="008D380E">
        <w:rPr>
          <w:rFonts w:ascii="Arial" w:eastAsia="Arial" w:hAnsi="Arial" w:cs="Arial"/>
          <w:szCs w:val="24"/>
          <w:lang w:eastAsia="en-GB"/>
        </w:rPr>
        <w:t>they will remain liable for any outstanding fees</w:t>
      </w:r>
      <w:r w:rsidR="00145368" w:rsidRPr="008D380E">
        <w:rPr>
          <w:rFonts w:ascii="Arial" w:eastAsia="Arial" w:hAnsi="Arial" w:cs="Arial"/>
          <w:szCs w:val="24"/>
          <w:lang w:eastAsia="en-GB"/>
        </w:rPr>
        <w:t xml:space="preserve"> if the withdrawal date is after the refund cut off dates</w:t>
      </w:r>
      <w:r w:rsidR="001873FD" w:rsidRPr="008D380E">
        <w:rPr>
          <w:rFonts w:ascii="Arial" w:eastAsia="Arial" w:hAnsi="Arial" w:cs="Arial"/>
          <w:szCs w:val="24"/>
          <w:lang w:eastAsia="en-GB"/>
        </w:rPr>
        <w:t xml:space="preserve"> and </w:t>
      </w:r>
      <w:r w:rsidR="001873FD" w:rsidRPr="008D380E">
        <w:rPr>
          <w:rFonts w:ascii="Arial" w:eastAsia="Arial" w:hAnsi="Arial" w:cs="Arial"/>
          <w:szCs w:val="24"/>
        </w:rPr>
        <w:t>will be pursued via our Credit Control Procedures.</w:t>
      </w:r>
    </w:p>
    <w:p w14:paraId="5E1BB7A9" w14:textId="77777777" w:rsidR="00E22C61" w:rsidRPr="008D380E" w:rsidRDefault="00004C12" w:rsidP="0022741B">
      <w:pPr>
        <w:pStyle w:val="ListParagraph"/>
        <w:numPr>
          <w:ilvl w:val="0"/>
          <w:numId w:val="6"/>
        </w:numPr>
        <w:spacing w:before="100" w:beforeAutospacing="1"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 xml:space="preserve">If a student expects to use an </w:t>
      </w:r>
      <w:r w:rsidR="00C808B3" w:rsidRPr="008D380E">
        <w:rPr>
          <w:rFonts w:ascii="Arial" w:eastAsia="Arial" w:hAnsi="Arial" w:cs="Arial"/>
          <w:szCs w:val="24"/>
          <w:lang w:eastAsia="en-GB"/>
        </w:rPr>
        <w:t>I</w:t>
      </w:r>
      <w:r w:rsidR="000B58A6" w:rsidRPr="008D380E">
        <w:rPr>
          <w:rFonts w:ascii="Arial" w:eastAsia="Arial" w:hAnsi="Arial" w:cs="Arial"/>
          <w:szCs w:val="24"/>
          <w:lang w:eastAsia="en-GB"/>
        </w:rPr>
        <w:t>T</w:t>
      </w:r>
      <w:r w:rsidR="00C808B3" w:rsidRPr="008D380E">
        <w:rPr>
          <w:rFonts w:ascii="Arial" w:eastAsia="Arial" w:hAnsi="Arial" w:cs="Arial"/>
          <w:szCs w:val="24"/>
          <w:lang w:eastAsia="en-GB"/>
        </w:rPr>
        <w:t>A</w:t>
      </w:r>
      <w:r w:rsidRPr="008D380E">
        <w:rPr>
          <w:rFonts w:ascii="Arial" w:eastAsia="Arial" w:hAnsi="Arial" w:cs="Arial"/>
          <w:szCs w:val="24"/>
          <w:lang w:eastAsia="en-GB"/>
        </w:rPr>
        <w:t xml:space="preserve"> towards a course fee and</w:t>
      </w:r>
      <w:r w:rsidR="00EA3CE9" w:rsidRPr="008D380E">
        <w:rPr>
          <w:rFonts w:ascii="Arial" w:eastAsia="Arial" w:hAnsi="Arial" w:cs="Arial"/>
          <w:szCs w:val="24"/>
          <w:lang w:eastAsia="en-GB"/>
        </w:rPr>
        <w:t xml:space="preserve"> then does not </w:t>
      </w:r>
      <w:r w:rsidR="00A83BFA" w:rsidRPr="008D380E">
        <w:rPr>
          <w:rFonts w:ascii="Arial" w:eastAsia="Arial" w:hAnsi="Arial" w:cs="Arial"/>
          <w:szCs w:val="24"/>
          <w:lang w:eastAsia="en-GB"/>
        </w:rPr>
        <w:t xml:space="preserve">provide </w:t>
      </w:r>
      <w:r w:rsidR="00EA3CE9" w:rsidRPr="008D380E">
        <w:rPr>
          <w:rFonts w:ascii="Arial" w:eastAsia="Arial" w:hAnsi="Arial" w:cs="Arial"/>
          <w:szCs w:val="24"/>
          <w:lang w:eastAsia="en-GB"/>
        </w:rPr>
        <w:t xml:space="preserve">the </w:t>
      </w:r>
      <w:r w:rsidR="000B58A6" w:rsidRPr="008D380E">
        <w:rPr>
          <w:rFonts w:ascii="Arial" w:eastAsia="Arial" w:hAnsi="Arial" w:cs="Arial"/>
          <w:szCs w:val="24"/>
          <w:lang w:eastAsia="en-GB"/>
        </w:rPr>
        <w:t xml:space="preserve">relevant evidence </w:t>
      </w:r>
      <w:r w:rsidR="00F62ACE" w:rsidRPr="008D380E">
        <w:rPr>
          <w:rFonts w:ascii="Arial" w:eastAsia="Arial" w:hAnsi="Arial" w:cs="Arial"/>
          <w:szCs w:val="24"/>
          <w:lang w:eastAsia="en-GB"/>
        </w:rPr>
        <w:t xml:space="preserve">within </w:t>
      </w:r>
      <w:r w:rsidR="00F72D82" w:rsidRPr="008D380E">
        <w:rPr>
          <w:rFonts w:ascii="Arial" w:eastAsia="Arial" w:hAnsi="Arial" w:cs="Arial"/>
          <w:szCs w:val="24"/>
          <w:lang w:eastAsia="en-GB"/>
        </w:rPr>
        <w:t>4</w:t>
      </w:r>
      <w:r w:rsidR="00F62ACE" w:rsidRPr="008D380E">
        <w:rPr>
          <w:rFonts w:ascii="Arial" w:eastAsia="Arial" w:hAnsi="Arial" w:cs="Arial"/>
          <w:szCs w:val="24"/>
          <w:lang w:eastAsia="en-GB"/>
        </w:rPr>
        <w:t xml:space="preserve"> weeks of applying for an IT</w:t>
      </w:r>
      <w:r w:rsidR="007D4827" w:rsidRPr="008D380E">
        <w:rPr>
          <w:rFonts w:ascii="Arial" w:eastAsia="Arial" w:hAnsi="Arial" w:cs="Arial"/>
          <w:szCs w:val="24"/>
          <w:lang w:eastAsia="en-GB"/>
        </w:rPr>
        <w:t>A</w:t>
      </w:r>
      <w:r w:rsidR="00F62ACE" w:rsidRPr="008D380E">
        <w:rPr>
          <w:rFonts w:ascii="Arial" w:eastAsia="Arial" w:hAnsi="Arial" w:cs="Arial"/>
          <w:szCs w:val="24"/>
          <w:lang w:eastAsia="en-GB"/>
        </w:rPr>
        <w:t xml:space="preserve">, </w:t>
      </w:r>
      <w:r w:rsidR="000B58A6" w:rsidRPr="008D380E">
        <w:rPr>
          <w:rFonts w:ascii="Arial" w:eastAsia="Arial" w:hAnsi="Arial" w:cs="Arial"/>
          <w:szCs w:val="24"/>
          <w:lang w:eastAsia="en-GB"/>
        </w:rPr>
        <w:t>the</w:t>
      </w:r>
      <w:r w:rsidRPr="008D380E">
        <w:rPr>
          <w:rFonts w:ascii="Arial" w:eastAsia="Arial" w:hAnsi="Arial" w:cs="Arial"/>
          <w:szCs w:val="24"/>
          <w:lang w:eastAsia="en-GB"/>
        </w:rPr>
        <w:t xml:space="preserve"> student will be</w:t>
      </w:r>
      <w:r w:rsidR="00E22C61" w:rsidRPr="008D380E">
        <w:rPr>
          <w:rFonts w:ascii="Arial" w:eastAsia="Arial" w:hAnsi="Arial" w:cs="Arial"/>
          <w:szCs w:val="24"/>
          <w:lang w:eastAsia="en-GB"/>
        </w:rPr>
        <w:t xml:space="preserve"> liable for the ful</w:t>
      </w:r>
      <w:r w:rsidRPr="008D380E">
        <w:rPr>
          <w:rFonts w:ascii="Arial" w:eastAsia="Arial" w:hAnsi="Arial" w:cs="Arial"/>
          <w:szCs w:val="24"/>
          <w:lang w:eastAsia="en-GB"/>
        </w:rPr>
        <w:t xml:space="preserve">l </w:t>
      </w:r>
      <w:r w:rsidR="000B58A6" w:rsidRPr="008D380E">
        <w:rPr>
          <w:rFonts w:ascii="Arial" w:eastAsia="Arial" w:hAnsi="Arial" w:cs="Arial"/>
          <w:szCs w:val="24"/>
          <w:lang w:eastAsia="en-GB"/>
        </w:rPr>
        <w:t>cost of the course</w:t>
      </w:r>
      <w:r w:rsidRPr="008D380E">
        <w:rPr>
          <w:rFonts w:ascii="Arial" w:eastAsia="Arial" w:hAnsi="Arial" w:cs="Arial"/>
          <w:szCs w:val="24"/>
          <w:lang w:eastAsia="en-GB"/>
        </w:rPr>
        <w:t>.</w:t>
      </w:r>
    </w:p>
    <w:p w14:paraId="082ED890" w14:textId="77777777" w:rsidR="00F72D82" w:rsidRPr="008D380E" w:rsidRDefault="00F72D82" w:rsidP="0022741B">
      <w:pPr>
        <w:pStyle w:val="ListParagraph"/>
        <w:numPr>
          <w:ilvl w:val="0"/>
          <w:numId w:val="6"/>
        </w:numPr>
        <w:spacing w:before="100" w:beforeAutospacing="1" w:after="120"/>
        <w:ind w:left="851" w:hanging="567"/>
        <w:contextualSpacing w:val="0"/>
        <w:rPr>
          <w:rFonts w:ascii="Arial" w:eastAsia="Arial" w:hAnsi="Arial" w:cs="Arial"/>
          <w:szCs w:val="24"/>
          <w:lang w:eastAsia="en-GB"/>
        </w:rPr>
      </w:pPr>
      <w:r w:rsidRPr="008D380E">
        <w:rPr>
          <w:rFonts w:ascii="Arial" w:eastAsia="Arial" w:hAnsi="Arial" w:cs="Arial"/>
          <w:szCs w:val="24"/>
          <w:lang w:eastAsia="en-GB"/>
        </w:rPr>
        <w:t>Results will be withheld until full payment has been received.</w:t>
      </w:r>
    </w:p>
    <w:p w14:paraId="0836CBDB" w14:textId="0CB017B3" w:rsidR="00C808B3" w:rsidRPr="008D380E" w:rsidRDefault="00E22C61" w:rsidP="0022741B">
      <w:pPr>
        <w:pStyle w:val="Default"/>
        <w:numPr>
          <w:ilvl w:val="0"/>
          <w:numId w:val="6"/>
        </w:numPr>
        <w:spacing w:after="120"/>
        <w:ind w:left="851" w:hanging="567"/>
        <w:rPr>
          <w:rFonts w:eastAsia="Arial"/>
          <w:color w:val="auto"/>
        </w:rPr>
      </w:pPr>
      <w:r w:rsidRPr="008D380E">
        <w:rPr>
          <w:rFonts w:eastAsia="Arial"/>
          <w:color w:val="auto"/>
        </w:rPr>
        <w:t xml:space="preserve">Where fees are not paid according to the </w:t>
      </w:r>
      <w:r w:rsidR="00DF6FBE" w:rsidRPr="008D380E">
        <w:rPr>
          <w:rFonts w:eastAsia="Arial"/>
          <w:color w:val="auto"/>
        </w:rPr>
        <w:t>C</w:t>
      </w:r>
      <w:r w:rsidRPr="008D380E">
        <w:rPr>
          <w:rFonts w:eastAsia="Arial"/>
          <w:color w:val="auto"/>
        </w:rPr>
        <w:t xml:space="preserve">ollege </w:t>
      </w:r>
      <w:r w:rsidR="00DF6FBE" w:rsidRPr="008D380E">
        <w:rPr>
          <w:rFonts w:eastAsia="Arial"/>
          <w:color w:val="auto"/>
        </w:rPr>
        <w:t>P</w:t>
      </w:r>
      <w:r w:rsidRPr="008D380E">
        <w:rPr>
          <w:rFonts w:eastAsia="Arial"/>
          <w:color w:val="auto"/>
        </w:rPr>
        <w:t>olicy</w:t>
      </w:r>
      <w:r w:rsidR="00AB3393" w:rsidRPr="008D380E">
        <w:rPr>
          <w:rFonts w:eastAsia="Arial"/>
          <w:color w:val="auto"/>
        </w:rPr>
        <w:t>,</w:t>
      </w:r>
      <w:r w:rsidR="00DF6FBE" w:rsidRPr="008D380E">
        <w:rPr>
          <w:rFonts w:eastAsia="Arial"/>
          <w:color w:val="auto"/>
        </w:rPr>
        <w:t xml:space="preserve"> </w:t>
      </w:r>
      <w:r w:rsidRPr="008D380E">
        <w:rPr>
          <w:rFonts w:eastAsia="Arial"/>
          <w:color w:val="auto"/>
        </w:rPr>
        <w:t xml:space="preserve">credit control measures </w:t>
      </w:r>
      <w:r w:rsidR="00AB3393" w:rsidRPr="008D380E">
        <w:rPr>
          <w:rFonts w:eastAsia="Arial"/>
          <w:color w:val="auto"/>
        </w:rPr>
        <w:t xml:space="preserve">will be implemented </w:t>
      </w:r>
      <w:r w:rsidR="004A0FE4" w:rsidRPr="008D380E">
        <w:rPr>
          <w:rFonts w:eastAsia="Arial"/>
          <w:color w:val="auto"/>
        </w:rPr>
        <w:t xml:space="preserve">which may </w:t>
      </w:r>
      <w:proofErr w:type="gramStart"/>
      <w:r w:rsidR="004A0FE4" w:rsidRPr="008D380E">
        <w:rPr>
          <w:rFonts w:eastAsia="Arial"/>
          <w:color w:val="auto"/>
        </w:rPr>
        <w:t>include</w:t>
      </w:r>
      <w:r w:rsidR="00AB3393" w:rsidRPr="008D380E">
        <w:rPr>
          <w:rFonts w:eastAsia="Arial"/>
          <w:color w:val="auto"/>
        </w:rPr>
        <w:t>;</w:t>
      </w:r>
      <w:proofErr w:type="gramEnd"/>
      <w:r w:rsidRPr="008D380E">
        <w:rPr>
          <w:rFonts w:eastAsia="Arial"/>
          <w:color w:val="auto"/>
        </w:rPr>
        <w:t xml:space="preserve"> issuing </w:t>
      </w:r>
      <w:r w:rsidR="00AB3393" w:rsidRPr="008D380E">
        <w:rPr>
          <w:rFonts w:eastAsia="Arial"/>
          <w:color w:val="auto"/>
        </w:rPr>
        <w:t xml:space="preserve">debtor </w:t>
      </w:r>
      <w:r w:rsidRPr="008D380E">
        <w:rPr>
          <w:rFonts w:eastAsia="Arial"/>
          <w:color w:val="auto"/>
        </w:rPr>
        <w:t xml:space="preserve">statements, reminder letters, final demands, passing outstanding fees to debt recovery agencies, instructing legal action to recover debts, as well as removal from the course and withholding </w:t>
      </w:r>
      <w:r w:rsidR="00834419" w:rsidRPr="008D380E">
        <w:rPr>
          <w:rFonts w:eastAsia="Arial"/>
          <w:color w:val="auto"/>
        </w:rPr>
        <w:t>results</w:t>
      </w:r>
      <w:r w:rsidRPr="008D380E">
        <w:rPr>
          <w:rFonts w:eastAsia="Arial"/>
          <w:color w:val="auto"/>
        </w:rPr>
        <w:t>. This may also affect any future studies at the College.</w:t>
      </w:r>
    </w:p>
    <w:p w14:paraId="65D9FA46" w14:textId="77777777" w:rsidR="008D0E95" w:rsidRPr="008D380E" w:rsidRDefault="008D0E95" w:rsidP="008D0E95">
      <w:pPr>
        <w:rPr>
          <w:rFonts w:ascii="Arial" w:eastAsia="Arial" w:hAnsi="Arial" w:cs="Arial"/>
          <w:szCs w:val="24"/>
        </w:rPr>
      </w:pPr>
    </w:p>
    <w:p w14:paraId="55989B05" w14:textId="71305280" w:rsidR="00FE2FF9" w:rsidRPr="008D380E" w:rsidRDefault="00FE2FF9" w:rsidP="008D0E95">
      <w:pPr>
        <w:rPr>
          <w:rStyle w:val="Hyperlink"/>
          <w:rFonts w:ascii="Arial" w:eastAsia="Arial" w:hAnsi="Arial" w:cs="Arial"/>
          <w:color w:val="auto"/>
          <w:szCs w:val="24"/>
        </w:rPr>
      </w:pPr>
      <w:r w:rsidRPr="008D380E">
        <w:rPr>
          <w:rFonts w:ascii="Arial" w:eastAsia="Arial" w:hAnsi="Arial" w:cs="Arial"/>
          <w:szCs w:val="24"/>
        </w:rPr>
        <w:t xml:space="preserve">For any enquiry </w:t>
      </w:r>
      <w:r w:rsidR="00BA27A9" w:rsidRPr="008D380E">
        <w:rPr>
          <w:rFonts w:ascii="Arial" w:eastAsia="Arial" w:hAnsi="Arial" w:cs="Arial"/>
          <w:szCs w:val="24"/>
        </w:rPr>
        <w:t xml:space="preserve">or help </w:t>
      </w:r>
      <w:r w:rsidRPr="008D380E">
        <w:rPr>
          <w:rFonts w:ascii="Arial" w:eastAsia="Arial" w:hAnsi="Arial" w:cs="Arial"/>
          <w:szCs w:val="24"/>
        </w:rPr>
        <w:t xml:space="preserve">regarding a payment please </w:t>
      </w:r>
      <w:r w:rsidR="00CE1071" w:rsidRPr="008D380E">
        <w:rPr>
          <w:rFonts w:ascii="Arial" w:eastAsia="Arial" w:hAnsi="Arial" w:cs="Arial"/>
          <w:szCs w:val="24"/>
        </w:rPr>
        <w:t xml:space="preserve">call 0131 297 8187 or </w:t>
      </w:r>
      <w:r w:rsidRPr="008D380E">
        <w:rPr>
          <w:rFonts w:ascii="Arial" w:eastAsia="Arial" w:hAnsi="Arial" w:cs="Arial"/>
          <w:szCs w:val="24"/>
        </w:rPr>
        <w:t xml:space="preserve">e-mail </w:t>
      </w:r>
      <w:hyperlink r:id="rId8">
        <w:r w:rsidRPr="008D380E">
          <w:rPr>
            <w:rStyle w:val="Hyperlink"/>
            <w:rFonts w:ascii="Arial" w:eastAsia="Arial" w:hAnsi="Arial" w:cs="Arial"/>
            <w:color w:val="auto"/>
            <w:szCs w:val="24"/>
          </w:rPr>
          <w:t>Cashiers@edinburghcollege.ac.uk</w:t>
        </w:r>
      </w:hyperlink>
      <w:r w:rsidR="00CE1071" w:rsidRPr="008D380E">
        <w:rPr>
          <w:rStyle w:val="Hyperlink"/>
          <w:rFonts w:ascii="Arial" w:eastAsia="Arial" w:hAnsi="Arial" w:cs="Arial"/>
          <w:color w:val="auto"/>
          <w:szCs w:val="24"/>
        </w:rPr>
        <w:t xml:space="preserve"> </w:t>
      </w:r>
    </w:p>
    <w:p w14:paraId="661A0D04" w14:textId="77777777" w:rsidR="008D0E95" w:rsidRDefault="008D0E95" w:rsidP="008D0E95">
      <w:pPr>
        <w:rPr>
          <w:rStyle w:val="Hyperlink"/>
          <w:rFonts w:ascii="Arial" w:eastAsia="Arial" w:hAnsi="Arial" w:cs="Arial"/>
          <w:color w:val="auto"/>
        </w:rPr>
      </w:pPr>
    </w:p>
    <w:p w14:paraId="09FFA98E" w14:textId="5746555E" w:rsidR="008D0E95" w:rsidRPr="008D0E95" w:rsidRDefault="008D0E95" w:rsidP="008D0E95">
      <w:pPr>
        <w:pStyle w:val="Heading2"/>
      </w:pPr>
      <w:r w:rsidRPr="008D0E95">
        <w:rPr>
          <w:rStyle w:val="Hyperlink"/>
          <w:color w:val="auto"/>
          <w:u w:val="none"/>
        </w:rPr>
        <w:t>End of document</w:t>
      </w:r>
    </w:p>
    <w:sectPr w:rsidR="008D0E95" w:rsidRPr="008D0E95" w:rsidSect="0022741B">
      <w:headerReference w:type="default" r:id="rId9"/>
      <w:type w:val="continuous"/>
      <w:pgSz w:w="11909" w:h="16834" w:code="9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5B5DF" w14:textId="77777777" w:rsidR="00C273EB" w:rsidRDefault="00C273EB" w:rsidP="00C27563">
      <w:r>
        <w:separator/>
      </w:r>
    </w:p>
  </w:endnote>
  <w:endnote w:type="continuationSeparator" w:id="0">
    <w:p w14:paraId="65C43D33" w14:textId="77777777" w:rsidR="00C273EB" w:rsidRDefault="00C273EB" w:rsidP="00C2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4CE0A" w14:textId="77777777" w:rsidR="00C273EB" w:rsidRDefault="00C273EB" w:rsidP="00C27563">
      <w:r>
        <w:separator/>
      </w:r>
    </w:p>
  </w:footnote>
  <w:footnote w:type="continuationSeparator" w:id="0">
    <w:p w14:paraId="00022F19" w14:textId="77777777" w:rsidR="00C273EB" w:rsidRDefault="00C273EB" w:rsidP="00C2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F265" w14:textId="6C403C82" w:rsidR="00C27563" w:rsidRDefault="002E3032" w:rsidP="002E3032">
    <w:pPr>
      <w:pStyle w:val="Header"/>
      <w:jc w:val="right"/>
    </w:pPr>
    <w:r>
      <w:rPr>
        <w:noProof/>
      </w:rPr>
      <w:drawing>
        <wp:inline distT="0" distB="0" distL="0" distR="0" wp14:anchorId="775E439B" wp14:editId="58BB900F">
          <wp:extent cx="1152525" cy="609600"/>
          <wp:effectExtent l="0" t="0" r="3175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2379B55B-4843-4791-AB4C-9919788C64D9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379B55B-4843-4791-AB4C-9919788C64D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BBFF2" w14:textId="77777777" w:rsidR="00263B36" w:rsidRDefault="00263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EE2"/>
    <w:multiLevelType w:val="hybridMultilevel"/>
    <w:tmpl w:val="DB48FB92"/>
    <w:lvl w:ilvl="0" w:tplc="DCD43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C51CD0"/>
    <w:multiLevelType w:val="hybridMultilevel"/>
    <w:tmpl w:val="BF7A6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46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980A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9B739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769306536">
    <w:abstractNumId w:val="2"/>
  </w:num>
  <w:num w:numId="2" w16cid:durableId="375012388">
    <w:abstractNumId w:val="3"/>
  </w:num>
  <w:num w:numId="3" w16cid:durableId="209193757">
    <w:abstractNumId w:val="4"/>
  </w:num>
  <w:num w:numId="4" w16cid:durableId="329214950">
    <w:abstractNumId w:val="5"/>
  </w:num>
  <w:num w:numId="5" w16cid:durableId="442113911">
    <w:abstractNumId w:val="1"/>
  </w:num>
  <w:num w:numId="6" w16cid:durableId="165899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61"/>
    <w:rsid w:val="00004C12"/>
    <w:rsid w:val="00013902"/>
    <w:rsid w:val="0006270A"/>
    <w:rsid w:val="00073EB4"/>
    <w:rsid w:val="00081C10"/>
    <w:rsid w:val="000B0788"/>
    <w:rsid w:val="000B58A6"/>
    <w:rsid w:val="000D29FD"/>
    <w:rsid w:val="000D746F"/>
    <w:rsid w:val="000F2950"/>
    <w:rsid w:val="000F2AB4"/>
    <w:rsid w:val="00113B36"/>
    <w:rsid w:val="00122001"/>
    <w:rsid w:val="00134D70"/>
    <w:rsid w:val="00145368"/>
    <w:rsid w:val="00174E11"/>
    <w:rsid w:val="001873FD"/>
    <w:rsid w:val="0022741B"/>
    <w:rsid w:val="00263B36"/>
    <w:rsid w:val="002723DE"/>
    <w:rsid w:val="0027546A"/>
    <w:rsid w:val="002A61FC"/>
    <w:rsid w:val="002C02DA"/>
    <w:rsid w:val="002E3032"/>
    <w:rsid w:val="002F4AA0"/>
    <w:rsid w:val="00333007"/>
    <w:rsid w:val="00336B74"/>
    <w:rsid w:val="003442C1"/>
    <w:rsid w:val="00353146"/>
    <w:rsid w:val="003812E8"/>
    <w:rsid w:val="00393231"/>
    <w:rsid w:val="003B0157"/>
    <w:rsid w:val="003B676C"/>
    <w:rsid w:val="003C018E"/>
    <w:rsid w:val="003D3A51"/>
    <w:rsid w:val="004066EB"/>
    <w:rsid w:val="00426EC5"/>
    <w:rsid w:val="00431539"/>
    <w:rsid w:val="004A0FE4"/>
    <w:rsid w:val="00500014"/>
    <w:rsid w:val="00550AD8"/>
    <w:rsid w:val="005B1E68"/>
    <w:rsid w:val="005B3AD4"/>
    <w:rsid w:val="005B5B31"/>
    <w:rsid w:val="005D7A98"/>
    <w:rsid w:val="005E4572"/>
    <w:rsid w:val="005E77B6"/>
    <w:rsid w:val="005F760F"/>
    <w:rsid w:val="00643957"/>
    <w:rsid w:val="00645D25"/>
    <w:rsid w:val="00650FAF"/>
    <w:rsid w:val="00665A3F"/>
    <w:rsid w:val="0070019B"/>
    <w:rsid w:val="00713BE5"/>
    <w:rsid w:val="00734BDC"/>
    <w:rsid w:val="007366F1"/>
    <w:rsid w:val="00743070"/>
    <w:rsid w:val="00791FA1"/>
    <w:rsid w:val="007A0D35"/>
    <w:rsid w:val="007D4827"/>
    <w:rsid w:val="00834419"/>
    <w:rsid w:val="00841009"/>
    <w:rsid w:val="00864A40"/>
    <w:rsid w:val="008D0E95"/>
    <w:rsid w:val="008D380E"/>
    <w:rsid w:val="008E3323"/>
    <w:rsid w:val="0094783C"/>
    <w:rsid w:val="00950A96"/>
    <w:rsid w:val="00991381"/>
    <w:rsid w:val="009A6475"/>
    <w:rsid w:val="00A11F83"/>
    <w:rsid w:val="00A72327"/>
    <w:rsid w:val="00A83BFA"/>
    <w:rsid w:val="00AB3393"/>
    <w:rsid w:val="00AE193F"/>
    <w:rsid w:val="00B17C55"/>
    <w:rsid w:val="00B43033"/>
    <w:rsid w:val="00BA27A9"/>
    <w:rsid w:val="00BA6063"/>
    <w:rsid w:val="00BB75AF"/>
    <w:rsid w:val="00BE042E"/>
    <w:rsid w:val="00C17416"/>
    <w:rsid w:val="00C23EA3"/>
    <w:rsid w:val="00C273EB"/>
    <w:rsid w:val="00C27563"/>
    <w:rsid w:val="00C63133"/>
    <w:rsid w:val="00C802FF"/>
    <w:rsid w:val="00C808B3"/>
    <w:rsid w:val="00CC08AE"/>
    <w:rsid w:val="00CE1071"/>
    <w:rsid w:val="00D347A1"/>
    <w:rsid w:val="00D5174E"/>
    <w:rsid w:val="00D55542"/>
    <w:rsid w:val="00D76F0A"/>
    <w:rsid w:val="00D873FD"/>
    <w:rsid w:val="00D97497"/>
    <w:rsid w:val="00DC1F1D"/>
    <w:rsid w:val="00DE5FDD"/>
    <w:rsid w:val="00DF6FBE"/>
    <w:rsid w:val="00E22C61"/>
    <w:rsid w:val="00E91BCE"/>
    <w:rsid w:val="00EA3CE9"/>
    <w:rsid w:val="00F101DA"/>
    <w:rsid w:val="00F62ACE"/>
    <w:rsid w:val="00F72D82"/>
    <w:rsid w:val="00F86AA5"/>
    <w:rsid w:val="00F90058"/>
    <w:rsid w:val="00FA214D"/>
    <w:rsid w:val="00FA550C"/>
    <w:rsid w:val="00FE2FF9"/>
    <w:rsid w:val="00FE5403"/>
    <w:rsid w:val="00FF429C"/>
    <w:rsid w:val="05598720"/>
    <w:rsid w:val="0B85A1DA"/>
    <w:rsid w:val="0D423101"/>
    <w:rsid w:val="12CE1C5C"/>
    <w:rsid w:val="139D40B1"/>
    <w:rsid w:val="2022F1C4"/>
    <w:rsid w:val="222E3C0B"/>
    <w:rsid w:val="236552FD"/>
    <w:rsid w:val="25242252"/>
    <w:rsid w:val="3313E89F"/>
    <w:rsid w:val="34B73992"/>
    <w:rsid w:val="39C528AB"/>
    <w:rsid w:val="3F7261D0"/>
    <w:rsid w:val="4243EFC4"/>
    <w:rsid w:val="42FD0AE9"/>
    <w:rsid w:val="522AD3E1"/>
    <w:rsid w:val="685F7F23"/>
    <w:rsid w:val="74EB19F6"/>
    <w:rsid w:val="7F4F8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6C243"/>
  <w15:chartTrackingRefBased/>
  <w15:docId w15:val="{CDC9E2FB-F918-4EC6-8D24-2CD2542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E95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E95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A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qFormat/>
    <w:rsid w:val="00E22C61"/>
    <w:pPr>
      <w:keepNext/>
      <w:outlineLvl w:val="4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22C6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2">
    <w:name w:val="Body Text 2"/>
    <w:basedOn w:val="Normal"/>
    <w:link w:val="BodyText2Char"/>
    <w:rsid w:val="00E22C61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E22C6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22C61"/>
    <w:pPr>
      <w:ind w:left="720"/>
      <w:contextualSpacing/>
    </w:pPr>
  </w:style>
  <w:style w:type="paragraph" w:customStyle="1" w:styleId="Default">
    <w:name w:val="Default"/>
    <w:rsid w:val="00E22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A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A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A9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5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56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27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56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F4AA0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F4A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4A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3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00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D0E95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E95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347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5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hiers@edinburghcolleg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inburghcollege.ac.uk/information-and-advice/funding-and-f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College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Youngs</dc:creator>
  <cp:keywords/>
  <dc:description/>
  <cp:lastModifiedBy>Nick Hooker</cp:lastModifiedBy>
  <cp:revision>2</cp:revision>
  <cp:lastPrinted>2020-07-30T11:34:00Z</cp:lastPrinted>
  <dcterms:created xsi:type="dcterms:W3CDTF">2024-10-23T15:51:00Z</dcterms:created>
  <dcterms:modified xsi:type="dcterms:W3CDTF">2024-10-23T15:51:00Z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Enabled">
    <vt:lpwstr>true</vt:lpwstr>
  </property>
  <property fmtid="{D5CDD505-2E9C-101B-9397-08002B2CF9AE}" pid="3" name="MSIP_Label_917377ac-e5ac-4c41-ba53-0bbd98a190e5_SetDate">
    <vt:lpwstr>2024-10-16T13:04:53Z</vt:lpwstr>
  </property>
  <property fmtid="{D5CDD505-2E9C-101B-9397-08002B2CF9AE}" pid="4" name="MSIP_Label_917377ac-e5ac-4c41-ba53-0bbd98a190e5_Method">
    <vt:lpwstr>Standard</vt:lpwstr>
  </property>
  <property fmtid="{D5CDD505-2E9C-101B-9397-08002B2CF9AE}" pid="5" name="MSIP_Label_917377ac-e5ac-4c41-ba53-0bbd98a190e5_Name">
    <vt:lpwstr>AIP Sensitivity Labels</vt:lpwstr>
  </property>
  <property fmtid="{D5CDD505-2E9C-101B-9397-08002B2CF9AE}" pid="6" name="MSIP_Label_917377ac-e5ac-4c41-ba53-0bbd98a190e5_SiteId">
    <vt:lpwstr>de73f96d-8ea1-4b80-a6a2-5165bfd494db</vt:lpwstr>
  </property>
  <property fmtid="{D5CDD505-2E9C-101B-9397-08002B2CF9AE}" pid="7" name="MSIP_Label_917377ac-e5ac-4c41-ba53-0bbd98a190e5_ActionId">
    <vt:lpwstr>1754d551-5c68-431a-8d1a-d5eac334e621</vt:lpwstr>
  </property>
  <property fmtid="{D5CDD505-2E9C-101B-9397-08002B2CF9AE}" pid="8" name="MSIP_Label_917377ac-e5ac-4c41-ba53-0bbd98a190e5_ContentBits">
    <vt:lpwstr>0</vt:lpwstr>
  </property>
</Properties>
</file>