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F4FDA" w14:textId="5267A9A7" w:rsidR="009F4AC0" w:rsidRDefault="00EF1BB9">
      <w:pPr>
        <w:pStyle w:val="BodyText"/>
        <w:rPr>
          <w:rFonts w:ascii="Times New Roman"/>
          <w:sz w:val="20"/>
        </w:rPr>
      </w:pPr>
      <w:r>
        <w:rPr>
          <w:noProof/>
        </w:rPr>
        <w:drawing>
          <wp:anchor distT="0" distB="0" distL="0" distR="0" simplePos="0" relativeHeight="251658240" behindDoc="0" locked="0" layoutInCell="1" allowOverlap="1" wp14:anchorId="300F50DF" wp14:editId="5D452B5A">
            <wp:simplePos x="0" y="0"/>
            <wp:positionH relativeFrom="page">
              <wp:posOffset>8534400</wp:posOffset>
            </wp:positionH>
            <wp:positionV relativeFrom="paragraph">
              <wp:posOffset>2540</wp:posOffset>
            </wp:positionV>
            <wp:extent cx="1714500" cy="810260"/>
            <wp:effectExtent l="0" t="0" r="0" b="889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4500" cy="810260"/>
                    </a:xfrm>
                    <a:prstGeom prst="rect">
                      <a:avLst/>
                    </a:prstGeom>
                  </pic:spPr>
                </pic:pic>
              </a:graphicData>
            </a:graphic>
            <wp14:sizeRelV relativeFrom="margin">
              <wp14:pctHeight>0</wp14:pctHeight>
            </wp14:sizeRelV>
          </wp:anchor>
        </w:drawing>
      </w:r>
    </w:p>
    <w:p w14:paraId="300F4FDB" w14:textId="73AD1766" w:rsidR="009F4AC0" w:rsidRDefault="002132D0" w:rsidP="00EF1BB9">
      <w:pPr>
        <w:spacing w:before="248"/>
        <w:jc w:val="center"/>
        <w:rPr>
          <w:b/>
          <w:sz w:val="36"/>
        </w:rPr>
      </w:pPr>
      <w:r>
        <w:rPr>
          <w:b/>
          <w:sz w:val="36"/>
        </w:rPr>
        <w:t>Equality Impact Assessment (EIA) Recording Form</w:t>
      </w:r>
    </w:p>
    <w:p w14:paraId="300F4FDC" w14:textId="77777777" w:rsidR="009F4AC0" w:rsidRDefault="009F4AC0">
      <w:pPr>
        <w:rPr>
          <w:b/>
          <w:sz w:val="20"/>
        </w:rPr>
      </w:pPr>
    </w:p>
    <w:p w14:paraId="300F4FDD" w14:textId="77777777" w:rsidR="009F4AC0" w:rsidRDefault="009F4AC0">
      <w:pPr>
        <w:rPr>
          <w:b/>
          <w:sz w:val="20"/>
        </w:rPr>
      </w:pPr>
    </w:p>
    <w:p w14:paraId="300F4FDE" w14:textId="77777777" w:rsidR="009F4AC0" w:rsidRDefault="009F4AC0">
      <w:pPr>
        <w:rPr>
          <w:b/>
          <w:sz w:val="20"/>
        </w:rPr>
      </w:pPr>
    </w:p>
    <w:p w14:paraId="300F4FDF" w14:textId="77777777" w:rsidR="009F4AC0" w:rsidRDefault="009F4AC0">
      <w:pPr>
        <w:rPr>
          <w:b/>
          <w:sz w:val="20"/>
        </w:rPr>
      </w:pPr>
    </w:p>
    <w:p w14:paraId="300F4FE0" w14:textId="77777777" w:rsidR="009F4AC0" w:rsidRDefault="002132D0">
      <w:pPr>
        <w:spacing w:before="222" w:after="43"/>
        <w:ind w:left="112"/>
        <w:rPr>
          <w:sz w:val="24"/>
        </w:rPr>
      </w:pPr>
      <w:r>
        <w:rPr>
          <w:sz w:val="24"/>
        </w:rPr>
        <w:t>Please refer to the notes and examples in the EIA Guidelines to help complete this record</w:t>
      </w:r>
      <w:bookmarkStart w:id="0" w:name="_GoBack"/>
      <w:bookmarkEnd w:id="0"/>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2"/>
        <w:gridCol w:w="1274"/>
        <w:gridCol w:w="1279"/>
        <w:gridCol w:w="1935"/>
        <w:gridCol w:w="3584"/>
        <w:gridCol w:w="1621"/>
        <w:gridCol w:w="1239"/>
      </w:tblGrid>
      <w:tr w:rsidR="009F4AC0" w14:paraId="300F4FE8" w14:textId="77777777">
        <w:trPr>
          <w:trHeight w:val="628"/>
        </w:trPr>
        <w:tc>
          <w:tcPr>
            <w:tcW w:w="3632" w:type="dxa"/>
            <w:shd w:val="clear" w:color="auto" w:fill="FCE9D9"/>
          </w:tcPr>
          <w:p w14:paraId="300F4FE1" w14:textId="77777777" w:rsidR="009F4AC0" w:rsidRDefault="002132D0">
            <w:pPr>
              <w:pStyle w:val="TableParagraph"/>
              <w:spacing w:before="38"/>
              <w:ind w:left="110" w:right="77"/>
              <w:rPr>
                <w:sz w:val="24"/>
              </w:rPr>
            </w:pPr>
            <w:r>
              <w:rPr>
                <w:sz w:val="24"/>
              </w:rPr>
              <w:t>Title of Activity/Proposal/Policy/Practice</w:t>
            </w:r>
          </w:p>
        </w:tc>
        <w:tc>
          <w:tcPr>
            <w:tcW w:w="2553" w:type="dxa"/>
            <w:gridSpan w:val="2"/>
          </w:tcPr>
          <w:p w14:paraId="300F4FE2" w14:textId="3EF1528E" w:rsidR="009F4AC0" w:rsidRPr="00281FAE" w:rsidRDefault="00281FAE">
            <w:pPr>
              <w:pStyle w:val="TableParagraph"/>
              <w:rPr>
                <w:sz w:val="24"/>
              </w:rPr>
            </w:pPr>
            <w:r w:rsidRPr="00281FAE">
              <w:rPr>
                <w:sz w:val="24"/>
              </w:rPr>
              <w:t>Substance Misuse Policy &amp; Procedure</w:t>
            </w:r>
          </w:p>
        </w:tc>
        <w:tc>
          <w:tcPr>
            <w:tcW w:w="1935" w:type="dxa"/>
            <w:vMerge w:val="restart"/>
            <w:shd w:val="clear" w:color="auto" w:fill="FCE9D9"/>
          </w:tcPr>
          <w:p w14:paraId="300F4FE3" w14:textId="77777777" w:rsidR="009F4AC0" w:rsidRDefault="009F4AC0">
            <w:pPr>
              <w:pStyle w:val="TableParagraph"/>
              <w:spacing w:before="7"/>
              <w:rPr>
                <w:sz w:val="28"/>
              </w:rPr>
            </w:pPr>
          </w:p>
          <w:p w14:paraId="300F4FE4" w14:textId="77777777" w:rsidR="009F4AC0" w:rsidRDefault="002132D0">
            <w:pPr>
              <w:pStyle w:val="TableParagraph"/>
              <w:ind w:left="108" w:right="280"/>
              <w:jc w:val="both"/>
              <w:rPr>
                <w:sz w:val="24"/>
              </w:rPr>
            </w:pPr>
            <w:r>
              <w:rPr>
                <w:sz w:val="24"/>
              </w:rPr>
              <w:t>EIA Team and Lead Member of Staff</w:t>
            </w:r>
          </w:p>
        </w:tc>
        <w:tc>
          <w:tcPr>
            <w:tcW w:w="3584" w:type="dxa"/>
            <w:vMerge w:val="restart"/>
          </w:tcPr>
          <w:p w14:paraId="1841BCF1" w14:textId="26071BF7" w:rsidR="009F4AC0" w:rsidRDefault="00281FAE">
            <w:pPr>
              <w:pStyle w:val="TableParagraph"/>
              <w:rPr>
                <w:sz w:val="24"/>
              </w:rPr>
            </w:pPr>
            <w:r w:rsidRPr="00281FAE">
              <w:rPr>
                <w:sz w:val="24"/>
              </w:rPr>
              <w:t>Joint Management and Unison Group</w:t>
            </w:r>
            <w:r w:rsidR="00FD3403">
              <w:rPr>
                <w:sz w:val="24"/>
              </w:rPr>
              <w:t xml:space="preserve"> (no longer exists)</w:t>
            </w:r>
          </w:p>
          <w:p w14:paraId="11D0EBE0" w14:textId="77777777" w:rsidR="00FD3403" w:rsidRDefault="00FD3403">
            <w:pPr>
              <w:pStyle w:val="TableParagraph"/>
              <w:rPr>
                <w:sz w:val="24"/>
              </w:rPr>
            </w:pPr>
          </w:p>
          <w:p w14:paraId="300F4FE5" w14:textId="61010848" w:rsidR="00FD3403" w:rsidRPr="00281FAE" w:rsidRDefault="00FD3403">
            <w:pPr>
              <w:pStyle w:val="TableParagraph"/>
              <w:rPr>
                <w:sz w:val="24"/>
              </w:rPr>
            </w:pPr>
            <w:r>
              <w:rPr>
                <w:sz w:val="24"/>
              </w:rPr>
              <w:t>Sue Clyne/Irene Michie</w:t>
            </w:r>
          </w:p>
        </w:tc>
        <w:tc>
          <w:tcPr>
            <w:tcW w:w="1621" w:type="dxa"/>
            <w:vMerge w:val="restart"/>
            <w:shd w:val="clear" w:color="auto" w:fill="FCE9D9"/>
          </w:tcPr>
          <w:p w14:paraId="300F4FE6" w14:textId="77777777" w:rsidR="009F4AC0" w:rsidRDefault="002132D0">
            <w:pPr>
              <w:pStyle w:val="TableParagraph"/>
              <w:ind w:left="110"/>
              <w:rPr>
                <w:sz w:val="24"/>
              </w:rPr>
            </w:pPr>
            <w:r>
              <w:rPr>
                <w:sz w:val="24"/>
              </w:rPr>
              <w:t>Date</w:t>
            </w:r>
          </w:p>
        </w:tc>
        <w:tc>
          <w:tcPr>
            <w:tcW w:w="1239" w:type="dxa"/>
            <w:vMerge w:val="restart"/>
          </w:tcPr>
          <w:p w14:paraId="36FD7810" w14:textId="79C8A2D3" w:rsidR="009F4AC0" w:rsidRDefault="00281FAE">
            <w:pPr>
              <w:pStyle w:val="TableParagraph"/>
              <w:rPr>
                <w:sz w:val="24"/>
              </w:rPr>
            </w:pPr>
            <w:r w:rsidRPr="00281FAE">
              <w:rPr>
                <w:sz w:val="24"/>
              </w:rPr>
              <w:t>16/09/21</w:t>
            </w:r>
          </w:p>
          <w:p w14:paraId="211B7F87" w14:textId="77777777" w:rsidR="00FD3403" w:rsidRDefault="00FD3403">
            <w:pPr>
              <w:pStyle w:val="TableParagraph"/>
              <w:rPr>
                <w:sz w:val="24"/>
              </w:rPr>
            </w:pPr>
          </w:p>
          <w:p w14:paraId="300F4FE7" w14:textId="35D13986" w:rsidR="00FD3403" w:rsidRPr="00281FAE" w:rsidRDefault="00FD3403">
            <w:pPr>
              <w:pStyle w:val="TableParagraph"/>
              <w:rPr>
                <w:sz w:val="24"/>
              </w:rPr>
            </w:pPr>
            <w:r>
              <w:rPr>
                <w:sz w:val="24"/>
              </w:rPr>
              <w:t>(updated 25/03/24)</w:t>
            </w:r>
          </w:p>
        </w:tc>
      </w:tr>
      <w:tr w:rsidR="009F4AC0" w14:paraId="300F4FF0" w14:textId="77777777">
        <w:trPr>
          <w:trHeight w:val="276"/>
        </w:trPr>
        <w:tc>
          <w:tcPr>
            <w:tcW w:w="3632" w:type="dxa"/>
            <w:vMerge w:val="restart"/>
            <w:shd w:val="clear" w:color="auto" w:fill="FCE9D9"/>
          </w:tcPr>
          <w:p w14:paraId="300F4FE9" w14:textId="77777777" w:rsidR="009F4AC0" w:rsidRDefault="002132D0">
            <w:pPr>
              <w:pStyle w:val="TableParagraph"/>
              <w:spacing w:before="149"/>
              <w:ind w:left="110" w:right="477"/>
              <w:rPr>
                <w:sz w:val="24"/>
              </w:rPr>
            </w:pPr>
            <w:r>
              <w:rPr>
                <w:sz w:val="24"/>
              </w:rPr>
              <w:t>Type of Policy/Practice/ (tick box)</w:t>
            </w:r>
          </w:p>
        </w:tc>
        <w:tc>
          <w:tcPr>
            <w:tcW w:w="1274" w:type="dxa"/>
          </w:tcPr>
          <w:p w14:paraId="300F4FEA" w14:textId="77777777" w:rsidR="009F4AC0" w:rsidRDefault="002132D0">
            <w:pPr>
              <w:pStyle w:val="TableParagraph"/>
              <w:spacing w:line="256" w:lineRule="exact"/>
              <w:ind w:left="107"/>
              <w:rPr>
                <w:sz w:val="24"/>
              </w:rPr>
            </w:pPr>
            <w:r>
              <w:rPr>
                <w:sz w:val="24"/>
              </w:rPr>
              <w:t>New</w:t>
            </w:r>
          </w:p>
        </w:tc>
        <w:tc>
          <w:tcPr>
            <w:tcW w:w="1279" w:type="dxa"/>
          </w:tcPr>
          <w:p w14:paraId="300F4FEB" w14:textId="77777777" w:rsidR="009F4AC0" w:rsidRDefault="009F4AC0">
            <w:pPr>
              <w:pStyle w:val="TableParagraph"/>
              <w:rPr>
                <w:rFonts w:ascii="Times New Roman"/>
                <w:sz w:val="20"/>
              </w:rPr>
            </w:pPr>
          </w:p>
        </w:tc>
        <w:tc>
          <w:tcPr>
            <w:tcW w:w="1935" w:type="dxa"/>
            <w:vMerge/>
            <w:tcBorders>
              <w:top w:val="nil"/>
            </w:tcBorders>
            <w:shd w:val="clear" w:color="auto" w:fill="FCE9D9"/>
          </w:tcPr>
          <w:p w14:paraId="300F4FEC" w14:textId="77777777" w:rsidR="009F4AC0" w:rsidRDefault="009F4AC0">
            <w:pPr>
              <w:rPr>
                <w:sz w:val="2"/>
                <w:szCs w:val="2"/>
              </w:rPr>
            </w:pPr>
          </w:p>
        </w:tc>
        <w:tc>
          <w:tcPr>
            <w:tcW w:w="3584" w:type="dxa"/>
            <w:vMerge/>
            <w:tcBorders>
              <w:top w:val="nil"/>
            </w:tcBorders>
          </w:tcPr>
          <w:p w14:paraId="300F4FED" w14:textId="77777777" w:rsidR="009F4AC0" w:rsidRDefault="009F4AC0">
            <w:pPr>
              <w:rPr>
                <w:sz w:val="2"/>
                <w:szCs w:val="2"/>
              </w:rPr>
            </w:pPr>
          </w:p>
        </w:tc>
        <w:tc>
          <w:tcPr>
            <w:tcW w:w="1621" w:type="dxa"/>
            <w:vMerge/>
            <w:tcBorders>
              <w:top w:val="nil"/>
            </w:tcBorders>
            <w:shd w:val="clear" w:color="auto" w:fill="FCE9D9"/>
          </w:tcPr>
          <w:p w14:paraId="300F4FEE" w14:textId="77777777" w:rsidR="009F4AC0" w:rsidRDefault="009F4AC0">
            <w:pPr>
              <w:rPr>
                <w:sz w:val="2"/>
                <w:szCs w:val="2"/>
              </w:rPr>
            </w:pPr>
          </w:p>
        </w:tc>
        <w:tc>
          <w:tcPr>
            <w:tcW w:w="1239" w:type="dxa"/>
            <w:vMerge/>
            <w:tcBorders>
              <w:top w:val="nil"/>
            </w:tcBorders>
          </w:tcPr>
          <w:p w14:paraId="300F4FEF" w14:textId="77777777" w:rsidR="009F4AC0" w:rsidRDefault="009F4AC0">
            <w:pPr>
              <w:rPr>
                <w:sz w:val="2"/>
                <w:szCs w:val="2"/>
              </w:rPr>
            </w:pPr>
          </w:p>
        </w:tc>
      </w:tr>
      <w:tr w:rsidR="009F4AC0" w14:paraId="300F4FF8" w14:textId="77777777">
        <w:trPr>
          <w:trHeight w:val="275"/>
        </w:trPr>
        <w:tc>
          <w:tcPr>
            <w:tcW w:w="3632" w:type="dxa"/>
            <w:vMerge/>
            <w:tcBorders>
              <w:top w:val="nil"/>
            </w:tcBorders>
            <w:shd w:val="clear" w:color="auto" w:fill="FCE9D9"/>
          </w:tcPr>
          <w:p w14:paraId="300F4FF1" w14:textId="77777777" w:rsidR="009F4AC0" w:rsidRDefault="009F4AC0">
            <w:pPr>
              <w:rPr>
                <w:sz w:val="2"/>
                <w:szCs w:val="2"/>
              </w:rPr>
            </w:pPr>
          </w:p>
        </w:tc>
        <w:tc>
          <w:tcPr>
            <w:tcW w:w="1274" w:type="dxa"/>
          </w:tcPr>
          <w:p w14:paraId="300F4FF2" w14:textId="77777777" w:rsidR="009F4AC0" w:rsidRDefault="002132D0">
            <w:pPr>
              <w:pStyle w:val="TableParagraph"/>
              <w:spacing w:line="255" w:lineRule="exact"/>
              <w:ind w:left="107"/>
              <w:rPr>
                <w:sz w:val="24"/>
              </w:rPr>
            </w:pPr>
            <w:r>
              <w:rPr>
                <w:sz w:val="24"/>
              </w:rPr>
              <w:t>Existing</w:t>
            </w:r>
          </w:p>
        </w:tc>
        <w:tc>
          <w:tcPr>
            <w:tcW w:w="1279" w:type="dxa"/>
          </w:tcPr>
          <w:p w14:paraId="300F4FF3" w14:textId="77777777" w:rsidR="009F4AC0" w:rsidRDefault="009F4AC0">
            <w:pPr>
              <w:pStyle w:val="TableParagraph"/>
              <w:rPr>
                <w:rFonts w:ascii="Times New Roman"/>
                <w:sz w:val="20"/>
              </w:rPr>
            </w:pPr>
          </w:p>
        </w:tc>
        <w:tc>
          <w:tcPr>
            <w:tcW w:w="1935" w:type="dxa"/>
            <w:vMerge/>
            <w:tcBorders>
              <w:top w:val="nil"/>
            </w:tcBorders>
            <w:shd w:val="clear" w:color="auto" w:fill="FCE9D9"/>
          </w:tcPr>
          <w:p w14:paraId="300F4FF4" w14:textId="77777777" w:rsidR="009F4AC0" w:rsidRDefault="009F4AC0">
            <w:pPr>
              <w:rPr>
                <w:sz w:val="2"/>
                <w:szCs w:val="2"/>
              </w:rPr>
            </w:pPr>
          </w:p>
        </w:tc>
        <w:tc>
          <w:tcPr>
            <w:tcW w:w="3584" w:type="dxa"/>
            <w:vMerge/>
            <w:tcBorders>
              <w:top w:val="nil"/>
            </w:tcBorders>
          </w:tcPr>
          <w:p w14:paraId="300F4FF5" w14:textId="77777777" w:rsidR="009F4AC0" w:rsidRDefault="009F4AC0">
            <w:pPr>
              <w:rPr>
                <w:sz w:val="2"/>
                <w:szCs w:val="2"/>
              </w:rPr>
            </w:pPr>
          </w:p>
        </w:tc>
        <w:tc>
          <w:tcPr>
            <w:tcW w:w="1621" w:type="dxa"/>
            <w:vMerge/>
            <w:tcBorders>
              <w:top w:val="nil"/>
            </w:tcBorders>
            <w:shd w:val="clear" w:color="auto" w:fill="FCE9D9"/>
          </w:tcPr>
          <w:p w14:paraId="300F4FF6" w14:textId="77777777" w:rsidR="009F4AC0" w:rsidRDefault="009F4AC0">
            <w:pPr>
              <w:rPr>
                <w:sz w:val="2"/>
                <w:szCs w:val="2"/>
              </w:rPr>
            </w:pPr>
          </w:p>
        </w:tc>
        <w:tc>
          <w:tcPr>
            <w:tcW w:w="1239" w:type="dxa"/>
            <w:vMerge/>
            <w:tcBorders>
              <w:top w:val="nil"/>
            </w:tcBorders>
          </w:tcPr>
          <w:p w14:paraId="300F4FF7" w14:textId="77777777" w:rsidR="009F4AC0" w:rsidRDefault="009F4AC0">
            <w:pPr>
              <w:rPr>
                <w:sz w:val="2"/>
                <w:szCs w:val="2"/>
              </w:rPr>
            </w:pPr>
          </w:p>
        </w:tc>
      </w:tr>
      <w:tr w:rsidR="009F4AC0" w14:paraId="300F5000" w14:textId="77777777">
        <w:trPr>
          <w:trHeight w:val="277"/>
        </w:trPr>
        <w:tc>
          <w:tcPr>
            <w:tcW w:w="3632" w:type="dxa"/>
            <w:vMerge/>
            <w:tcBorders>
              <w:top w:val="nil"/>
            </w:tcBorders>
            <w:shd w:val="clear" w:color="auto" w:fill="FCE9D9"/>
          </w:tcPr>
          <w:p w14:paraId="300F4FF9" w14:textId="77777777" w:rsidR="009F4AC0" w:rsidRDefault="009F4AC0">
            <w:pPr>
              <w:rPr>
                <w:sz w:val="2"/>
                <w:szCs w:val="2"/>
              </w:rPr>
            </w:pPr>
          </w:p>
        </w:tc>
        <w:tc>
          <w:tcPr>
            <w:tcW w:w="1274" w:type="dxa"/>
          </w:tcPr>
          <w:p w14:paraId="300F4FFA" w14:textId="77777777" w:rsidR="009F4AC0" w:rsidRDefault="002132D0">
            <w:pPr>
              <w:pStyle w:val="TableParagraph"/>
              <w:spacing w:line="258" w:lineRule="exact"/>
              <w:ind w:left="107"/>
              <w:rPr>
                <w:sz w:val="24"/>
              </w:rPr>
            </w:pPr>
            <w:r>
              <w:rPr>
                <w:sz w:val="24"/>
              </w:rPr>
              <w:t>Revised</w:t>
            </w:r>
          </w:p>
        </w:tc>
        <w:tc>
          <w:tcPr>
            <w:tcW w:w="1279" w:type="dxa"/>
          </w:tcPr>
          <w:p w14:paraId="300F4FFB" w14:textId="17289A39" w:rsidR="009F4AC0" w:rsidRPr="00281FAE" w:rsidRDefault="00281FAE">
            <w:pPr>
              <w:pStyle w:val="TableParagraph"/>
              <w:rPr>
                <w:sz w:val="20"/>
              </w:rPr>
            </w:pPr>
            <w:r>
              <w:rPr>
                <w:sz w:val="20"/>
              </w:rPr>
              <w:t>X</w:t>
            </w:r>
          </w:p>
        </w:tc>
        <w:tc>
          <w:tcPr>
            <w:tcW w:w="1935" w:type="dxa"/>
            <w:vMerge/>
            <w:tcBorders>
              <w:top w:val="nil"/>
            </w:tcBorders>
            <w:shd w:val="clear" w:color="auto" w:fill="FCE9D9"/>
          </w:tcPr>
          <w:p w14:paraId="300F4FFC" w14:textId="77777777" w:rsidR="009F4AC0" w:rsidRDefault="009F4AC0">
            <w:pPr>
              <w:rPr>
                <w:sz w:val="2"/>
                <w:szCs w:val="2"/>
              </w:rPr>
            </w:pPr>
          </w:p>
        </w:tc>
        <w:tc>
          <w:tcPr>
            <w:tcW w:w="3584" w:type="dxa"/>
            <w:vMerge/>
            <w:tcBorders>
              <w:top w:val="nil"/>
            </w:tcBorders>
          </w:tcPr>
          <w:p w14:paraId="300F4FFD" w14:textId="77777777" w:rsidR="009F4AC0" w:rsidRDefault="009F4AC0">
            <w:pPr>
              <w:rPr>
                <w:sz w:val="2"/>
                <w:szCs w:val="2"/>
              </w:rPr>
            </w:pPr>
          </w:p>
        </w:tc>
        <w:tc>
          <w:tcPr>
            <w:tcW w:w="1621" w:type="dxa"/>
            <w:vMerge/>
            <w:tcBorders>
              <w:top w:val="nil"/>
            </w:tcBorders>
            <w:shd w:val="clear" w:color="auto" w:fill="FCE9D9"/>
          </w:tcPr>
          <w:p w14:paraId="300F4FFE" w14:textId="77777777" w:rsidR="009F4AC0" w:rsidRDefault="009F4AC0">
            <w:pPr>
              <w:rPr>
                <w:sz w:val="2"/>
                <w:szCs w:val="2"/>
              </w:rPr>
            </w:pPr>
          </w:p>
        </w:tc>
        <w:tc>
          <w:tcPr>
            <w:tcW w:w="1239" w:type="dxa"/>
            <w:vMerge/>
            <w:tcBorders>
              <w:top w:val="nil"/>
            </w:tcBorders>
          </w:tcPr>
          <w:p w14:paraId="300F4FFF" w14:textId="77777777" w:rsidR="009F4AC0" w:rsidRDefault="009F4AC0">
            <w:pPr>
              <w:rPr>
                <w:sz w:val="2"/>
                <w:szCs w:val="2"/>
              </w:rPr>
            </w:pPr>
          </w:p>
        </w:tc>
      </w:tr>
    </w:tbl>
    <w:p w14:paraId="300F5001" w14:textId="77777777" w:rsidR="009F4AC0" w:rsidRDefault="009F4AC0">
      <w:pPr>
        <w:rPr>
          <w:sz w:val="26"/>
        </w:rPr>
      </w:pPr>
    </w:p>
    <w:p w14:paraId="300F5002" w14:textId="77777777" w:rsidR="009F4AC0" w:rsidRDefault="009F4AC0">
      <w:pPr>
        <w:spacing w:before="5"/>
        <w:rPr>
          <w:sz w:val="32"/>
        </w:rPr>
      </w:pPr>
    </w:p>
    <w:p w14:paraId="300F5003" w14:textId="77777777" w:rsidR="009F4AC0" w:rsidRDefault="002132D0">
      <w:pPr>
        <w:ind w:left="275"/>
        <w:rPr>
          <w:b/>
          <w:sz w:val="24"/>
        </w:rPr>
      </w:pPr>
      <w:r>
        <w:rPr>
          <w:b/>
          <w:sz w:val="24"/>
        </w:rPr>
        <w:t>Step 1 – Considering the aims of the policy/proposal and evidence of how it affects different groups</w:t>
      </w:r>
    </w:p>
    <w:p w14:paraId="300F5004" w14:textId="77777777" w:rsidR="009F4AC0" w:rsidRDefault="009F4AC0">
      <w:pPr>
        <w:spacing w:before="6" w:after="1"/>
        <w:rPr>
          <w:b/>
          <w:sz w:val="23"/>
        </w:r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68"/>
        <w:gridCol w:w="8492"/>
      </w:tblGrid>
      <w:tr w:rsidR="009F4AC0" w14:paraId="300F5008" w14:textId="77777777">
        <w:trPr>
          <w:trHeight w:val="861"/>
        </w:trPr>
        <w:tc>
          <w:tcPr>
            <w:tcW w:w="6368" w:type="dxa"/>
            <w:shd w:val="clear" w:color="auto" w:fill="FCE9D9"/>
          </w:tcPr>
          <w:p w14:paraId="300F5005" w14:textId="77777777" w:rsidR="009F4AC0" w:rsidRDefault="002132D0">
            <w:pPr>
              <w:pStyle w:val="TableParagraph"/>
              <w:spacing w:before="38"/>
              <w:ind w:left="112" w:right="209"/>
              <w:rPr>
                <w:sz w:val="24"/>
              </w:rPr>
            </w:pPr>
            <w:r>
              <w:rPr>
                <w:sz w:val="24"/>
              </w:rPr>
              <w:t>What are the aims and purposes of the activity/ decision/ new or revised policy or procedure?</w:t>
            </w:r>
          </w:p>
          <w:p w14:paraId="300F5006" w14:textId="77777777" w:rsidR="009F4AC0" w:rsidRDefault="002132D0">
            <w:pPr>
              <w:pStyle w:val="TableParagraph"/>
              <w:spacing w:before="38" w:line="213" w:lineRule="exact"/>
              <w:ind w:left="112"/>
              <w:rPr>
                <w:sz w:val="20"/>
              </w:rPr>
            </w:pPr>
            <w:r>
              <w:rPr>
                <w:sz w:val="20"/>
              </w:rPr>
              <w:t>See Note 1</w:t>
            </w:r>
          </w:p>
        </w:tc>
        <w:tc>
          <w:tcPr>
            <w:tcW w:w="8492" w:type="dxa"/>
          </w:tcPr>
          <w:p w14:paraId="300F5007" w14:textId="04432C36" w:rsidR="009F4AC0" w:rsidRPr="00281FAE" w:rsidRDefault="00281FAE">
            <w:pPr>
              <w:pStyle w:val="TableParagraph"/>
              <w:rPr>
                <w:sz w:val="24"/>
              </w:rPr>
            </w:pPr>
            <w:r w:rsidRPr="00281FAE">
              <w:rPr>
                <w:sz w:val="24"/>
              </w:rPr>
              <w:t xml:space="preserve">The </w:t>
            </w:r>
            <w:r>
              <w:rPr>
                <w:sz w:val="24"/>
              </w:rPr>
              <w:t xml:space="preserve">aim of updating the existing Edinburgh College Alcohol &amp; Drugs Policy &amp; Procedure is to </w:t>
            </w:r>
            <w:r w:rsidR="00EC7CF7">
              <w:rPr>
                <w:sz w:val="24"/>
              </w:rPr>
              <w:t>ensure it complies with current employment legislation</w:t>
            </w:r>
            <w:r w:rsidR="007A7643">
              <w:rPr>
                <w:sz w:val="24"/>
              </w:rPr>
              <w:t>, uses up to date terminology and provides a transparent, supportive framework which enables managers and employees to work together with the aim of overcoming the employee’s substance problem, whil</w:t>
            </w:r>
            <w:r w:rsidR="003E4D8F">
              <w:rPr>
                <w:sz w:val="24"/>
              </w:rPr>
              <w:t>st</w:t>
            </w:r>
            <w:r w:rsidR="007A7643">
              <w:rPr>
                <w:sz w:val="24"/>
              </w:rPr>
              <w:t xml:space="preserve"> ensuring the Health &amp; Safety of others throughout</w:t>
            </w:r>
            <w:r w:rsidR="003E4D8F">
              <w:rPr>
                <w:sz w:val="24"/>
              </w:rPr>
              <w:t xml:space="preserve"> the process</w:t>
            </w:r>
            <w:r w:rsidR="007A7643">
              <w:rPr>
                <w:sz w:val="24"/>
              </w:rPr>
              <w:t>.</w:t>
            </w:r>
          </w:p>
        </w:tc>
      </w:tr>
      <w:tr w:rsidR="009F4AC0" w14:paraId="300F500C" w14:textId="77777777">
        <w:trPr>
          <w:trHeight w:val="700"/>
        </w:trPr>
        <w:tc>
          <w:tcPr>
            <w:tcW w:w="6368" w:type="dxa"/>
            <w:shd w:val="clear" w:color="auto" w:fill="FCE9D9"/>
          </w:tcPr>
          <w:p w14:paraId="300F5009" w14:textId="77777777" w:rsidR="009F4AC0" w:rsidRDefault="002132D0">
            <w:pPr>
              <w:pStyle w:val="TableParagraph"/>
              <w:spacing w:before="98"/>
              <w:ind w:left="112"/>
              <w:rPr>
                <w:sz w:val="24"/>
              </w:rPr>
            </w:pPr>
            <w:r>
              <w:rPr>
                <w:sz w:val="24"/>
              </w:rPr>
              <w:t>Who will be affected?</w:t>
            </w:r>
          </w:p>
          <w:p w14:paraId="300F500A" w14:textId="77777777" w:rsidR="009F4AC0" w:rsidRDefault="002132D0">
            <w:pPr>
              <w:pStyle w:val="TableParagraph"/>
              <w:spacing w:before="38"/>
              <w:ind w:left="112"/>
              <w:rPr>
                <w:sz w:val="20"/>
              </w:rPr>
            </w:pPr>
            <w:r>
              <w:rPr>
                <w:sz w:val="20"/>
              </w:rPr>
              <w:t>See Note 2</w:t>
            </w:r>
          </w:p>
        </w:tc>
        <w:tc>
          <w:tcPr>
            <w:tcW w:w="8492" w:type="dxa"/>
          </w:tcPr>
          <w:p w14:paraId="300F500B" w14:textId="23A4B102" w:rsidR="009F4AC0" w:rsidRPr="007A7643" w:rsidRDefault="00744A9F">
            <w:pPr>
              <w:pStyle w:val="TableParagraph"/>
              <w:rPr>
                <w:sz w:val="24"/>
              </w:rPr>
            </w:pPr>
            <w:r>
              <w:rPr>
                <w:sz w:val="24"/>
              </w:rPr>
              <w:t>All e</w:t>
            </w:r>
            <w:r w:rsidR="007A7643">
              <w:rPr>
                <w:sz w:val="24"/>
              </w:rPr>
              <w:t>mployees and managers</w:t>
            </w:r>
            <w:r>
              <w:rPr>
                <w:sz w:val="24"/>
              </w:rPr>
              <w:t xml:space="preserve"> will benefit from </w:t>
            </w:r>
            <w:r w:rsidR="00F5412E">
              <w:rPr>
                <w:sz w:val="24"/>
              </w:rPr>
              <w:t xml:space="preserve">a consistent, supportive approach being taken across the College should a substance problem arise for an employee </w:t>
            </w:r>
            <w:r w:rsidR="001D5254">
              <w:rPr>
                <w:sz w:val="24"/>
              </w:rPr>
              <w:t>– potential</w:t>
            </w:r>
            <w:r w:rsidR="00F5412E">
              <w:rPr>
                <w:sz w:val="24"/>
              </w:rPr>
              <w:t xml:space="preserve"> to enable early intervention, appropriate support to be provided, attendance to be managed effectively (if appropriate), reduce health &amp; safety risks and improve performance (if affected).</w:t>
            </w:r>
          </w:p>
        </w:tc>
      </w:tr>
      <w:tr w:rsidR="009F4AC0" w14:paraId="300F5010" w14:textId="77777777">
        <w:trPr>
          <w:trHeight w:val="609"/>
        </w:trPr>
        <w:tc>
          <w:tcPr>
            <w:tcW w:w="6368" w:type="dxa"/>
            <w:shd w:val="clear" w:color="auto" w:fill="FCE9D9"/>
          </w:tcPr>
          <w:p w14:paraId="300F500D" w14:textId="77777777" w:rsidR="009F4AC0" w:rsidRDefault="002132D0">
            <w:pPr>
              <w:pStyle w:val="TableParagraph"/>
              <w:spacing w:before="53"/>
              <w:ind w:left="102"/>
              <w:rPr>
                <w:sz w:val="24"/>
              </w:rPr>
            </w:pPr>
            <w:r>
              <w:rPr>
                <w:sz w:val="24"/>
              </w:rPr>
              <w:t>Who will be consulted?</w:t>
            </w:r>
          </w:p>
          <w:p w14:paraId="300F500E" w14:textId="77777777" w:rsidR="009F4AC0" w:rsidRDefault="002132D0">
            <w:pPr>
              <w:pStyle w:val="TableParagraph"/>
              <w:spacing w:before="37" w:line="223" w:lineRule="exact"/>
              <w:ind w:left="102"/>
              <w:rPr>
                <w:sz w:val="20"/>
              </w:rPr>
            </w:pPr>
            <w:r>
              <w:rPr>
                <w:sz w:val="20"/>
              </w:rPr>
              <w:t>See Note 3</w:t>
            </w:r>
          </w:p>
        </w:tc>
        <w:tc>
          <w:tcPr>
            <w:tcW w:w="8492" w:type="dxa"/>
          </w:tcPr>
          <w:p w14:paraId="300F500F" w14:textId="707A87ED" w:rsidR="009F4AC0" w:rsidRPr="00AA549F" w:rsidRDefault="00AA549F">
            <w:pPr>
              <w:pStyle w:val="TableParagraph"/>
              <w:rPr>
                <w:sz w:val="24"/>
              </w:rPr>
            </w:pPr>
            <w:r>
              <w:rPr>
                <w:sz w:val="24"/>
              </w:rPr>
              <w:t xml:space="preserve">Both EIS-FELA &amp; Unison were members of the Joint Management and Union Group who </w:t>
            </w:r>
            <w:r w:rsidR="003E4D8F">
              <w:rPr>
                <w:sz w:val="24"/>
              </w:rPr>
              <w:t>put forward</w:t>
            </w:r>
            <w:r>
              <w:rPr>
                <w:sz w:val="24"/>
              </w:rPr>
              <w:t>, reviewed</w:t>
            </w:r>
            <w:r w:rsidR="00C32A53">
              <w:rPr>
                <w:sz w:val="24"/>
              </w:rPr>
              <w:t xml:space="preserve">, </w:t>
            </w:r>
            <w:r w:rsidR="003E4D8F">
              <w:rPr>
                <w:sz w:val="24"/>
              </w:rPr>
              <w:t>provided feedback</w:t>
            </w:r>
            <w:r w:rsidR="00C32A53">
              <w:rPr>
                <w:sz w:val="24"/>
              </w:rPr>
              <w:t xml:space="preserve"> and reached agreement</w:t>
            </w:r>
            <w:r w:rsidR="003E4D8F">
              <w:rPr>
                <w:sz w:val="24"/>
              </w:rPr>
              <w:t xml:space="preserve"> on</w:t>
            </w:r>
            <w:r>
              <w:rPr>
                <w:sz w:val="24"/>
              </w:rPr>
              <w:t xml:space="preserve"> proposed changes </w:t>
            </w:r>
            <w:r w:rsidR="003E4D8F">
              <w:rPr>
                <w:sz w:val="24"/>
              </w:rPr>
              <w:t>to</w:t>
            </w:r>
            <w:r>
              <w:rPr>
                <w:sz w:val="24"/>
              </w:rPr>
              <w:t xml:space="preserve"> the Substance Misuse policy &amp; procedure. This is not a new policy but one </w:t>
            </w:r>
            <w:r w:rsidR="003E4D8F">
              <w:rPr>
                <w:sz w:val="24"/>
              </w:rPr>
              <w:t>which has</w:t>
            </w:r>
            <w:r>
              <w:rPr>
                <w:sz w:val="24"/>
              </w:rPr>
              <w:t xml:space="preserve"> been embedded and utilised across the College for some time but required updating to be more relevant and current in its approach.</w:t>
            </w:r>
          </w:p>
        </w:tc>
      </w:tr>
      <w:tr w:rsidR="009F4AC0" w14:paraId="300F5015" w14:textId="77777777">
        <w:trPr>
          <w:trHeight w:val="1610"/>
        </w:trPr>
        <w:tc>
          <w:tcPr>
            <w:tcW w:w="6368" w:type="dxa"/>
            <w:shd w:val="clear" w:color="auto" w:fill="FCE9D9"/>
          </w:tcPr>
          <w:p w14:paraId="300F5011" w14:textId="77777777" w:rsidR="009F4AC0" w:rsidRDefault="002132D0">
            <w:pPr>
              <w:pStyle w:val="TableParagraph"/>
              <w:ind w:left="102" w:right="526"/>
              <w:rPr>
                <w:sz w:val="24"/>
              </w:rPr>
            </w:pPr>
            <w:r>
              <w:rPr>
                <w:sz w:val="24"/>
              </w:rPr>
              <w:lastRenderedPageBreak/>
              <w:t>What evidence is available of how the policy/decision, etc. affects, or may affect, protected groups?</w:t>
            </w:r>
          </w:p>
          <w:p w14:paraId="300F5012" w14:textId="77777777" w:rsidR="009F4AC0" w:rsidRDefault="002132D0">
            <w:pPr>
              <w:pStyle w:val="TableParagraph"/>
              <w:ind w:left="102" w:right="312"/>
              <w:rPr>
                <w:sz w:val="24"/>
              </w:rPr>
            </w:pPr>
            <w:r>
              <w:rPr>
                <w:sz w:val="24"/>
              </w:rPr>
              <w:t>Evidence could be quantitative, qualitative or anecdotal. Do we have enough evidence to judge what the impact may be?</w:t>
            </w:r>
          </w:p>
          <w:p w14:paraId="300F5013" w14:textId="77777777" w:rsidR="009F4AC0" w:rsidRDefault="002132D0">
            <w:pPr>
              <w:pStyle w:val="TableParagraph"/>
              <w:spacing w:line="210" w:lineRule="exact"/>
              <w:ind w:left="102"/>
              <w:rPr>
                <w:sz w:val="20"/>
              </w:rPr>
            </w:pPr>
            <w:r>
              <w:rPr>
                <w:sz w:val="20"/>
              </w:rPr>
              <w:t>See note 4</w:t>
            </w:r>
          </w:p>
        </w:tc>
        <w:tc>
          <w:tcPr>
            <w:tcW w:w="8492" w:type="dxa"/>
          </w:tcPr>
          <w:p w14:paraId="1AE85AF5" w14:textId="290CAF19" w:rsidR="00346554" w:rsidRDefault="00346554">
            <w:pPr>
              <w:pStyle w:val="TableParagraph"/>
              <w:rPr>
                <w:sz w:val="24"/>
              </w:rPr>
            </w:pPr>
            <w:r>
              <w:rPr>
                <w:sz w:val="24"/>
              </w:rPr>
              <w:t xml:space="preserve">Due to the small numbers of employees who have participated in this policy and procedure before it is not possible to gain </w:t>
            </w:r>
            <w:r w:rsidR="006D7E60">
              <w:rPr>
                <w:sz w:val="24"/>
              </w:rPr>
              <w:t xml:space="preserve">specific </w:t>
            </w:r>
            <w:r>
              <w:rPr>
                <w:sz w:val="24"/>
              </w:rPr>
              <w:t>evidence of the impact on specific groups</w:t>
            </w:r>
            <w:r w:rsidR="006D7E60">
              <w:rPr>
                <w:sz w:val="24"/>
              </w:rPr>
              <w:t xml:space="preserve"> from previous cases of substance misuse within the College.</w:t>
            </w:r>
            <w:r w:rsidR="00DD70E7">
              <w:rPr>
                <w:sz w:val="24"/>
              </w:rPr>
              <w:t xml:space="preserve"> However, it is an area we can monitor going forward and we now have ability to produce anonymised statistics from iTrent (as basic casework details are now recorded on iTrent) and we compile Quarterly &amp; Annual Casework Dashboards.</w:t>
            </w:r>
          </w:p>
          <w:p w14:paraId="2519708D" w14:textId="77777777" w:rsidR="002C7F16" w:rsidRDefault="002C7F16">
            <w:pPr>
              <w:pStyle w:val="TableParagraph"/>
              <w:rPr>
                <w:sz w:val="24"/>
              </w:rPr>
            </w:pPr>
          </w:p>
          <w:p w14:paraId="4F96554C" w14:textId="05AB7FCA" w:rsidR="002C7F16" w:rsidRDefault="002C7F16">
            <w:pPr>
              <w:pStyle w:val="TableParagraph"/>
              <w:rPr>
                <w:sz w:val="24"/>
              </w:rPr>
            </w:pPr>
            <w:r>
              <w:rPr>
                <w:sz w:val="24"/>
              </w:rPr>
              <w:t>Ongoing review and discussion with both EIS-FELA and Unison on the implementation of the updated policy and procedure may provide evidence</w:t>
            </w:r>
            <w:r w:rsidR="00DD70E7">
              <w:rPr>
                <w:sz w:val="24"/>
              </w:rPr>
              <w:t>,</w:t>
            </w:r>
            <w:r>
              <w:rPr>
                <w:sz w:val="24"/>
              </w:rPr>
              <w:t xml:space="preserve"> where feedback has been received, or support has been given through this process and substance misuse problems overcome etc.</w:t>
            </w:r>
          </w:p>
          <w:p w14:paraId="6FEC5D25" w14:textId="77777777" w:rsidR="002C7F16" w:rsidRDefault="002C7F16">
            <w:pPr>
              <w:pStyle w:val="TableParagraph"/>
              <w:rPr>
                <w:sz w:val="24"/>
              </w:rPr>
            </w:pPr>
          </w:p>
          <w:p w14:paraId="300F5014" w14:textId="7529CE73" w:rsidR="002C7F16" w:rsidRPr="003E4D8F" w:rsidRDefault="002C7F16">
            <w:pPr>
              <w:pStyle w:val="TableParagraph"/>
              <w:rPr>
                <w:sz w:val="24"/>
              </w:rPr>
            </w:pPr>
            <w:r>
              <w:rPr>
                <w:sz w:val="24"/>
              </w:rPr>
              <w:t xml:space="preserve">Ensure updated policy is circulated and widely available to all employees so they are aware that they can self-refer or be requested to refer by their manager, should a potential substance misuse problem be identified. </w:t>
            </w:r>
          </w:p>
        </w:tc>
      </w:tr>
    </w:tbl>
    <w:p w14:paraId="300F5016" w14:textId="77777777" w:rsidR="009F4AC0" w:rsidRDefault="009F4AC0">
      <w:pPr>
        <w:rPr>
          <w:rFonts w:ascii="Times New Roman"/>
          <w:sz w:val="24"/>
        </w:rPr>
        <w:sectPr w:rsidR="009F4AC0">
          <w:footerReference w:type="default" r:id="rId11"/>
          <w:type w:val="continuous"/>
          <w:pgSz w:w="16840" w:h="11910" w:orient="landscape"/>
          <w:pgMar w:top="560" w:right="680" w:bottom="800" w:left="1020" w:header="720" w:footer="608" w:gutter="0"/>
          <w:pgNumType w:start="1"/>
          <w:cols w:space="720"/>
        </w:sectPr>
      </w:pPr>
    </w:p>
    <w:p w14:paraId="300F5017" w14:textId="77777777" w:rsidR="009F4AC0" w:rsidRDefault="002132D0">
      <w:pPr>
        <w:spacing w:before="53"/>
        <w:ind w:left="112"/>
        <w:rPr>
          <w:rFonts w:ascii="Calibri" w:hAnsi="Calibri"/>
          <w:b/>
          <w:sz w:val="28"/>
        </w:rPr>
      </w:pPr>
      <w:r>
        <w:rPr>
          <w:rFonts w:ascii="Calibri" w:hAnsi="Calibri"/>
          <w:b/>
          <w:color w:val="211E1F"/>
          <w:sz w:val="28"/>
        </w:rPr>
        <w:lastRenderedPageBreak/>
        <w:t>Step 2 – Assessing the impact</w:t>
      </w:r>
    </w:p>
    <w:p w14:paraId="300F5018" w14:textId="77777777" w:rsidR="009F4AC0" w:rsidRPr="004D2F21" w:rsidRDefault="002132D0">
      <w:pPr>
        <w:spacing w:before="251"/>
        <w:ind w:left="112"/>
      </w:pPr>
      <w:r w:rsidRPr="004D2F21">
        <w:rPr>
          <w:color w:val="211E1F"/>
        </w:rPr>
        <w:t>This involves:</w:t>
      </w:r>
    </w:p>
    <w:p w14:paraId="300F5019" w14:textId="77777777" w:rsidR="009F4AC0" w:rsidRPr="004D2F21" w:rsidRDefault="009F4AC0">
      <w:pPr>
        <w:spacing w:before="2"/>
      </w:pPr>
    </w:p>
    <w:p w14:paraId="300F501A" w14:textId="77777777" w:rsidR="009F4AC0" w:rsidRPr="004D2F21" w:rsidRDefault="002132D0">
      <w:pPr>
        <w:pStyle w:val="ListParagraph"/>
        <w:numPr>
          <w:ilvl w:val="0"/>
          <w:numId w:val="6"/>
        </w:numPr>
        <w:tabs>
          <w:tab w:val="left" w:pos="833"/>
          <w:tab w:val="left" w:pos="834"/>
        </w:tabs>
        <w:spacing w:before="0"/>
        <w:ind w:hanging="362"/>
        <w:rPr>
          <w:rFonts w:ascii="Arial" w:hAnsi="Arial"/>
        </w:rPr>
      </w:pPr>
      <w:r w:rsidRPr="004D2F21">
        <w:rPr>
          <w:rFonts w:ascii="Arial" w:hAnsi="Arial"/>
          <w:color w:val="211E1F"/>
        </w:rPr>
        <w:t>Considering relevant evidence relating to people who share a protected</w:t>
      </w:r>
      <w:r w:rsidRPr="004D2F21">
        <w:rPr>
          <w:rFonts w:ascii="Arial" w:hAnsi="Arial"/>
          <w:color w:val="211E1F"/>
          <w:spacing w:val="-6"/>
        </w:rPr>
        <w:t xml:space="preserve"> </w:t>
      </w:r>
      <w:r w:rsidRPr="004D2F21">
        <w:rPr>
          <w:rFonts w:ascii="Arial" w:hAnsi="Arial"/>
          <w:color w:val="211E1F"/>
        </w:rPr>
        <w:t>characteristic</w:t>
      </w:r>
    </w:p>
    <w:p w14:paraId="300F501B" w14:textId="77777777" w:rsidR="009F4AC0" w:rsidRPr="004D2F21" w:rsidRDefault="002132D0">
      <w:pPr>
        <w:pStyle w:val="ListParagraph"/>
        <w:numPr>
          <w:ilvl w:val="0"/>
          <w:numId w:val="6"/>
        </w:numPr>
        <w:tabs>
          <w:tab w:val="left" w:pos="833"/>
          <w:tab w:val="left" w:pos="834"/>
        </w:tabs>
        <w:spacing w:before="40" w:line="271" w:lineRule="auto"/>
        <w:ind w:right="665"/>
        <w:rPr>
          <w:rFonts w:ascii="Arial" w:hAnsi="Arial"/>
        </w:rPr>
      </w:pPr>
      <w:r w:rsidRPr="004D2F21">
        <w:rPr>
          <w:rFonts w:ascii="Arial" w:hAnsi="Arial"/>
          <w:color w:val="211E1F"/>
        </w:rPr>
        <w:t>Assessing the impact of applying a decision of a new or revised policy or practice against the needs of the Public Sector Equality Duty (PSED) and each protected</w:t>
      </w:r>
      <w:r w:rsidRPr="004D2F21">
        <w:rPr>
          <w:rFonts w:ascii="Arial" w:hAnsi="Arial"/>
          <w:color w:val="211E1F"/>
          <w:spacing w:val="-10"/>
        </w:rPr>
        <w:t xml:space="preserve"> </w:t>
      </w:r>
      <w:r w:rsidRPr="004D2F21">
        <w:rPr>
          <w:rFonts w:ascii="Arial" w:hAnsi="Arial"/>
          <w:color w:val="211E1F"/>
        </w:rPr>
        <w:t>characteristic.</w:t>
      </w:r>
    </w:p>
    <w:p w14:paraId="300F501C" w14:textId="77777777" w:rsidR="009F4AC0" w:rsidRDefault="002132D0">
      <w:pPr>
        <w:spacing w:before="207"/>
        <w:ind w:left="112"/>
        <w:rPr>
          <w:sz w:val="24"/>
        </w:rPr>
      </w:pPr>
      <w:r>
        <w:rPr>
          <w:color w:val="211E1F"/>
          <w:sz w:val="24"/>
        </w:rPr>
        <w:t>The Public Sector Equality Duty:</w:t>
      </w:r>
    </w:p>
    <w:p w14:paraId="300F501D" w14:textId="77777777" w:rsidR="009F4AC0" w:rsidRDefault="009F4AC0">
      <w:pPr>
        <w:spacing w:before="10"/>
        <w:rPr>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6"/>
        <w:gridCol w:w="5962"/>
        <w:gridCol w:w="4473"/>
      </w:tblGrid>
      <w:tr w:rsidR="009F4AC0" w14:paraId="300F5026" w14:textId="77777777" w:rsidTr="00CF41E7">
        <w:trPr>
          <w:trHeight w:val="1346"/>
        </w:trPr>
        <w:tc>
          <w:tcPr>
            <w:tcW w:w="4126" w:type="dxa"/>
            <w:shd w:val="clear" w:color="auto" w:fill="FAD3B4"/>
          </w:tcPr>
          <w:p w14:paraId="300F501E" w14:textId="22F3CDB4" w:rsidR="009F4AC0" w:rsidRDefault="002132D0">
            <w:pPr>
              <w:pStyle w:val="TableParagraph"/>
              <w:ind w:left="110" w:right="1507"/>
              <w:rPr>
                <w:b/>
                <w:sz w:val="28"/>
              </w:rPr>
            </w:pPr>
            <w:r>
              <w:rPr>
                <w:b/>
                <w:sz w:val="28"/>
              </w:rPr>
              <w:t>Eliminating</w:t>
            </w:r>
            <w:r w:rsidR="00CF41E7">
              <w:rPr>
                <w:b/>
                <w:sz w:val="28"/>
              </w:rPr>
              <w:t xml:space="preserve"> </w:t>
            </w:r>
            <w:r>
              <w:rPr>
                <w:b/>
                <w:sz w:val="28"/>
              </w:rPr>
              <w:t>discrimination, harassment and victimisation</w:t>
            </w:r>
          </w:p>
        </w:tc>
        <w:tc>
          <w:tcPr>
            <w:tcW w:w="5962" w:type="dxa"/>
            <w:shd w:val="clear" w:color="auto" w:fill="FAD3B4"/>
          </w:tcPr>
          <w:p w14:paraId="300F501F" w14:textId="77777777" w:rsidR="009F4AC0" w:rsidRDefault="002132D0">
            <w:pPr>
              <w:pStyle w:val="TableParagraph"/>
              <w:spacing w:line="321" w:lineRule="exact"/>
              <w:ind w:left="108"/>
              <w:rPr>
                <w:b/>
                <w:sz w:val="28"/>
              </w:rPr>
            </w:pPr>
            <w:r>
              <w:rPr>
                <w:b/>
                <w:sz w:val="28"/>
              </w:rPr>
              <w:t>Advancing equality-</w:t>
            </w:r>
          </w:p>
          <w:p w14:paraId="300F5020" w14:textId="77777777" w:rsidR="009F4AC0" w:rsidRDefault="002132D0">
            <w:pPr>
              <w:pStyle w:val="TableParagraph"/>
              <w:numPr>
                <w:ilvl w:val="0"/>
                <w:numId w:val="5"/>
              </w:numPr>
              <w:tabs>
                <w:tab w:val="left" w:pos="828"/>
                <w:tab w:val="left" w:pos="829"/>
              </w:tabs>
              <w:spacing w:line="342" w:lineRule="exact"/>
              <w:ind w:hanging="361"/>
              <w:rPr>
                <w:b/>
                <w:sz w:val="28"/>
              </w:rPr>
            </w:pPr>
            <w:r>
              <w:rPr>
                <w:b/>
                <w:sz w:val="28"/>
              </w:rPr>
              <w:t>Removing</w:t>
            </w:r>
            <w:r>
              <w:rPr>
                <w:b/>
                <w:spacing w:val="-1"/>
                <w:sz w:val="28"/>
              </w:rPr>
              <w:t xml:space="preserve"> </w:t>
            </w:r>
            <w:r>
              <w:rPr>
                <w:b/>
                <w:sz w:val="28"/>
              </w:rPr>
              <w:t>disadvantage</w:t>
            </w:r>
          </w:p>
          <w:p w14:paraId="300F5021" w14:textId="77777777" w:rsidR="009F4AC0" w:rsidRDefault="002132D0">
            <w:pPr>
              <w:pStyle w:val="TableParagraph"/>
              <w:numPr>
                <w:ilvl w:val="0"/>
                <w:numId w:val="5"/>
              </w:numPr>
              <w:tabs>
                <w:tab w:val="left" w:pos="828"/>
                <w:tab w:val="left" w:pos="829"/>
              </w:tabs>
              <w:spacing w:line="341" w:lineRule="exact"/>
              <w:ind w:hanging="361"/>
              <w:rPr>
                <w:b/>
                <w:sz w:val="28"/>
              </w:rPr>
            </w:pPr>
            <w:r>
              <w:rPr>
                <w:b/>
                <w:sz w:val="28"/>
              </w:rPr>
              <w:t>Meeting different</w:t>
            </w:r>
            <w:r>
              <w:rPr>
                <w:b/>
                <w:spacing w:val="-4"/>
                <w:sz w:val="28"/>
              </w:rPr>
              <w:t xml:space="preserve"> </w:t>
            </w:r>
            <w:r>
              <w:rPr>
                <w:b/>
                <w:sz w:val="28"/>
              </w:rPr>
              <w:t>needs</w:t>
            </w:r>
          </w:p>
          <w:p w14:paraId="300F5022" w14:textId="77777777" w:rsidR="009F4AC0" w:rsidRDefault="002132D0">
            <w:pPr>
              <w:pStyle w:val="TableParagraph"/>
              <w:numPr>
                <w:ilvl w:val="0"/>
                <w:numId w:val="5"/>
              </w:numPr>
              <w:tabs>
                <w:tab w:val="left" w:pos="828"/>
                <w:tab w:val="left" w:pos="829"/>
              </w:tabs>
              <w:spacing w:line="323" w:lineRule="exact"/>
              <w:ind w:hanging="361"/>
              <w:rPr>
                <w:b/>
                <w:sz w:val="28"/>
              </w:rPr>
            </w:pPr>
            <w:r>
              <w:rPr>
                <w:b/>
                <w:sz w:val="28"/>
              </w:rPr>
              <w:t>Encouraging</w:t>
            </w:r>
            <w:r>
              <w:rPr>
                <w:b/>
                <w:spacing w:val="-2"/>
                <w:sz w:val="28"/>
              </w:rPr>
              <w:t xml:space="preserve"> </w:t>
            </w:r>
            <w:r>
              <w:rPr>
                <w:b/>
                <w:sz w:val="28"/>
              </w:rPr>
              <w:t>participation</w:t>
            </w:r>
          </w:p>
        </w:tc>
        <w:tc>
          <w:tcPr>
            <w:tcW w:w="4473" w:type="dxa"/>
            <w:shd w:val="clear" w:color="auto" w:fill="FAD3B4"/>
          </w:tcPr>
          <w:p w14:paraId="300F5023" w14:textId="77777777" w:rsidR="009F4AC0" w:rsidRDefault="002132D0">
            <w:pPr>
              <w:pStyle w:val="TableParagraph"/>
              <w:spacing w:line="321" w:lineRule="exact"/>
              <w:ind w:left="109"/>
              <w:rPr>
                <w:b/>
                <w:sz w:val="28"/>
              </w:rPr>
            </w:pPr>
            <w:r>
              <w:rPr>
                <w:b/>
                <w:sz w:val="28"/>
              </w:rPr>
              <w:t>Fostering good relations</w:t>
            </w:r>
          </w:p>
          <w:p w14:paraId="300F5024" w14:textId="77777777" w:rsidR="009F4AC0" w:rsidRDefault="002132D0">
            <w:pPr>
              <w:pStyle w:val="TableParagraph"/>
              <w:numPr>
                <w:ilvl w:val="0"/>
                <w:numId w:val="4"/>
              </w:numPr>
              <w:tabs>
                <w:tab w:val="left" w:pos="828"/>
                <w:tab w:val="left" w:pos="829"/>
              </w:tabs>
              <w:spacing w:line="342" w:lineRule="exact"/>
              <w:rPr>
                <w:b/>
                <w:sz w:val="28"/>
              </w:rPr>
            </w:pPr>
            <w:r>
              <w:rPr>
                <w:b/>
                <w:sz w:val="28"/>
              </w:rPr>
              <w:t>Tackling</w:t>
            </w:r>
            <w:r>
              <w:rPr>
                <w:b/>
                <w:spacing w:val="-2"/>
                <w:sz w:val="28"/>
              </w:rPr>
              <w:t xml:space="preserve"> </w:t>
            </w:r>
            <w:r>
              <w:rPr>
                <w:b/>
                <w:sz w:val="28"/>
              </w:rPr>
              <w:t>prejudice</w:t>
            </w:r>
          </w:p>
          <w:p w14:paraId="300F5025" w14:textId="77777777" w:rsidR="009F4AC0" w:rsidRDefault="002132D0">
            <w:pPr>
              <w:pStyle w:val="TableParagraph"/>
              <w:numPr>
                <w:ilvl w:val="0"/>
                <w:numId w:val="4"/>
              </w:numPr>
              <w:tabs>
                <w:tab w:val="left" w:pos="828"/>
                <w:tab w:val="left" w:pos="829"/>
              </w:tabs>
              <w:spacing w:line="342" w:lineRule="exact"/>
              <w:rPr>
                <w:b/>
                <w:sz w:val="28"/>
              </w:rPr>
            </w:pPr>
            <w:r>
              <w:rPr>
                <w:b/>
                <w:sz w:val="28"/>
              </w:rPr>
              <w:t>Promoting</w:t>
            </w:r>
            <w:r>
              <w:rPr>
                <w:b/>
                <w:spacing w:val="-4"/>
                <w:sz w:val="28"/>
              </w:rPr>
              <w:t xml:space="preserve"> </w:t>
            </w:r>
            <w:r>
              <w:rPr>
                <w:b/>
                <w:sz w:val="28"/>
              </w:rPr>
              <w:t>understanding</w:t>
            </w:r>
          </w:p>
        </w:tc>
      </w:tr>
      <w:tr w:rsidR="00FD3403" w14:paraId="6B3A0DF6" w14:textId="77777777" w:rsidTr="00CF41E7">
        <w:trPr>
          <w:trHeight w:val="1346"/>
        </w:trPr>
        <w:tc>
          <w:tcPr>
            <w:tcW w:w="4126" w:type="dxa"/>
            <w:shd w:val="clear" w:color="auto" w:fill="auto"/>
          </w:tcPr>
          <w:p w14:paraId="56795B0B" w14:textId="33E55845" w:rsidR="00FD3403" w:rsidRPr="000963EC" w:rsidRDefault="000963EC">
            <w:pPr>
              <w:pStyle w:val="TableParagraph"/>
              <w:ind w:left="110" w:right="1507"/>
            </w:pPr>
            <w:r w:rsidRPr="000963EC">
              <w:t>Provid</w:t>
            </w:r>
            <w:r w:rsidR="00CF41E7">
              <w:t>es</w:t>
            </w:r>
            <w:r w:rsidRPr="000963EC">
              <w:t xml:space="preserve"> </w:t>
            </w:r>
            <w:r>
              <w:t>a consistent,</w:t>
            </w:r>
            <w:r w:rsidR="00CF41E7">
              <w:t xml:space="preserve"> </w:t>
            </w:r>
            <w:r>
              <w:t>supportive and transparent</w:t>
            </w:r>
            <w:r w:rsidR="00CF41E7">
              <w:t xml:space="preserve"> framework </w:t>
            </w:r>
            <w:r>
              <w:t xml:space="preserve">to support </w:t>
            </w:r>
            <w:r w:rsidR="004D2F21">
              <w:t xml:space="preserve">ALL </w:t>
            </w:r>
            <w:r>
              <w:t>employees when they are misusing</w:t>
            </w:r>
            <w:r w:rsidR="00CF41E7">
              <w:t>/using</w:t>
            </w:r>
            <w:r>
              <w:t xml:space="preserve"> alcohol </w:t>
            </w:r>
            <w:r w:rsidR="00CF41E7">
              <w:t>and/</w:t>
            </w:r>
            <w:r>
              <w:t>or substances.</w:t>
            </w:r>
          </w:p>
        </w:tc>
        <w:tc>
          <w:tcPr>
            <w:tcW w:w="5962" w:type="dxa"/>
            <w:shd w:val="clear" w:color="auto" w:fill="auto"/>
          </w:tcPr>
          <w:p w14:paraId="08A69655" w14:textId="77777777" w:rsidR="00FD3403" w:rsidRDefault="00FD3403">
            <w:pPr>
              <w:pStyle w:val="TableParagraph"/>
              <w:spacing w:line="321" w:lineRule="exact"/>
              <w:ind w:left="108"/>
              <w:rPr>
                <w:b/>
                <w:sz w:val="28"/>
              </w:rPr>
            </w:pPr>
          </w:p>
        </w:tc>
        <w:tc>
          <w:tcPr>
            <w:tcW w:w="4473" w:type="dxa"/>
            <w:shd w:val="clear" w:color="auto" w:fill="auto"/>
          </w:tcPr>
          <w:p w14:paraId="76B33253" w14:textId="77777777" w:rsidR="004D2F21" w:rsidRDefault="00CF41E7" w:rsidP="00CF41E7">
            <w:pPr>
              <w:spacing w:line="276" w:lineRule="auto"/>
            </w:pPr>
            <w:r>
              <w:t>P&amp;P will be well publicised to all employees and outlines the process available to support employees who are misusing/using alcohol and/or substances</w:t>
            </w:r>
            <w:r w:rsidR="004D2F21">
              <w:t xml:space="preserve">. </w:t>
            </w:r>
          </w:p>
          <w:p w14:paraId="05F08E41" w14:textId="77777777" w:rsidR="004D2F21" w:rsidRDefault="004D2F21" w:rsidP="00CF41E7">
            <w:pPr>
              <w:spacing w:line="276" w:lineRule="auto"/>
            </w:pPr>
          </w:p>
          <w:p w14:paraId="79E1EC7A" w14:textId="11B6A283" w:rsidR="00FD3403" w:rsidRPr="004D2F21" w:rsidRDefault="004D2F21" w:rsidP="004D2F21">
            <w:pPr>
              <w:spacing w:line="276" w:lineRule="auto"/>
            </w:pPr>
            <w:r>
              <w:t>Enables ALL employees to come forward and seek help and support when they need it.</w:t>
            </w:r>
          </w:p>
        </w:tc>
      </w:tr>
    </w:tbl>
    <w:p w14:paraId="300F5027" w14:textId="77777777" w:rsidR="009F4AC0" w:rsidRDefault="002132D0">
      <w:pPr>
        <w:spacing w:before="40"/>
        <w:ind w:left="225"/>
        <w:rPr>
          <w:sz w:val="20"/>
        </w:rPr>
      </w:pPr>
      <w:r>
        <w:rPr>
          <w:sz w:val="20"/>
        </w:rPr>
        <w:t>See Note 5</w:t>
      </w:r>
    </w:p>
    <w:p w14:paraId="300F5028" w14:textId="77777777" w:rsidR="009F4AC0" w:rsidRDefault="009F4AC0">
      <w:pPr>
        <w:spacing w:before="3"/>
        <w:rPr>
          <w:sz w:val="20"/>
        </w:rPr>
      </w:pPr>
    </w:p>
    <w:p w14:paraId="300F5029" w14:textId="77777777" w:rsidR="009F4AC0" w:rsidRPr="004D2F21" w:rsidRDefault="002132D0">
      <w:pPr>
        <w:pStyle w:val="BodyText"/>
        <w:spacing w:before="1"/>
        <w:ind w:left="112"/>
        <w:rPr>
          <w:rFonts w:ascii="Arial" w:hAnsi="Arial" w:cs="Arial"/>
          <w:sz w:val="22"/>
          <w:szCs w:val="22"/>
        </w:rPr>
      </w:pPr>
      <w:r w:rsidRPr="004D2F21">
        <w:rPr>
          <w:rFonts w:ascii="Arial" w:hAnsi="Arial" w:cs="Arial"/>
          <w:color w:val="211E1F"/>
          <w:sz w:val="22"/>
          <w:szCs w:val="22"/>
        </w:rPr>
        <w:t>Key Questions to ask:</w:t>
      </w:r>
    </w:p>
    <w:p w14:paraId="300F502A" w14:textId="77777777" w:rsidR="009F4AC0" w:rsidRPr="004D2F21" w:rsidRDefault="002132D0">
      <w:pPr>
        <w:pStyle w:val="ListParagraph"/>
        <w:numPr>
          <w:ilvl w:val="0"/>
          <w:numId w:val="3"/>
        </w:numPr>
        <w:tabs>
          <w:tab w:val="left" w:pos="834"/>
        </w:tabs>
        <w:ind w:hanging="362"/>
        <w:rPr>
          <w:rFonts w:ascii="Arial" w:hAnsi="Arial" w:cs="Arial"/>
          <w:color w:val="211E1F"/>
        </w:rPr>
      </w:pPr>
      <w:r w:rsidRPr="004D2F21">
        <w:rPr>
          <w:rFonts w:ascii="Arial" w:hAnsi="Arial" w:cs="Arial"/>
          <w:color w:val="211E1F"/>
        </w:rPr>
        <w:t>What potential positive/neutral/negative impacts can be</w:t>
      </w:r>
      <w:r w:rsidRPr="004D2F21">
        <w:rPr>
          <w:rFonts w:ascii="Arial" w:hAnsi="Arial" w:cs="Arial"/>
          <w:color w:val="211E1F"/>
          <w:spacing w:val="-9"/>
        </w:rPr>
        <w:t xml:space="preserve"> </w:t>
      </w:r>
      <w:r w:rsidRPr="004D2F21">
        <w:rPr>
          <w:rFonts w:ascii="Arial" w:hAnsi="Arial" w:cs="Arial"/>
          <w:color w:val="211E1F"/>
        </w:rPr>
        <w:t>identified?</w:t>
      </w:r>
    </w:p>
    <w:p w14:paraId="300F502B" w14:textId="77777777" w:rsidR="009F4AC0" w:rsidRPr="004D2F21" w:rsidRDefault="002132D0">
      <w:pPr>
        <w:pStyle w:val="ListParagraph"/>
        <w:numPr>
          <w:ilvl w:val="0"/>
          <w:numId w:val="3"/>
        </w:numPr>
        <w:tabs>
          <w:tab w:val="left" w:pos="834"/>
        </w:tabs>
        <w:spacing w:before="140" w:line="341" w:lineRule="exact"/>
        <w:ind w:hanging="362"/>
        <w:rPr>
          <w:rFonts w:ascii="Arial" w:hAnsi="Arial" w:cs="Arial"/>
          <w:color w:val="211E1F"/>
        </w:rPr>
      </w:pPr>
      <w:r w:rsidRPr="004D2F21">
        <w:rPr>
          <w:rFonts w:ascii="Arial" w:hAnsi="Arial" w:cs="Arial"/>
          <w:color w:val="211E1F"/>
        </w:rPr>
        <w:t>What does evidence demonstrate about positive/neutral/negative impacts for different protected characteristic</w:t>
      </w:r>
      <w:r w:rsidRPr="004D2F21">
        <w:rPr>
          <w:rFonts w:ascii="Arial" w:hAnsi="Arial" w:cs="Arial"/>
          <w:color w:val="211E1F"/>
          <w:spacing w:val="-30"/>
        </w:rPr>
        <w:t xml:space="preserve"> </w:t>
      </w:r>
      <w:r w:rsidRPr="004D2F21">
        <w:rPr>
          <w:rFonts w:ascii="Arial" w:hAnsi="Arial" w:cs="Arial"/>
          <w:color w:val="211E1F"/>
        </w:rPr>
        <w:t>groups?</w:t>
      </w:r>
    </w:p>
    <w:p w14:paraId="300F502C" w14:textId="77777777" w:rsidR="009F4AC0" w:rsidRPr="004D2F21" w:rsidRDefault="002132D0">
      <w:pPr>
        <w:pStyle w:val="BodyText"/>
        <w:spacing w:line="341" w:lineRule="exact"/>
        <w:ind w:left="833"/>
        <w:rPr>
          <w:rFonts w:ascii="Arial" w:hAnsi="Arial" w:cs="Arial"/>
          <w:sz w:val="22"/>
          <w:szCs w:val="22"/>
        </w:rPr>
      </w:pPr>
      <w:r w:rsidRPr="004D2F21">
        <w:rPr>
          <w:rFonts w:ascii="Arial" w:hAnsi="Arial" w:cs="Arial"/>
          <w:color w:val="211E1F"/>
          <w:sz w:val="22"/>
          <w:szCs w:val="22"/>
        </w:rPr>
        <w:t>E.g. statistics on participation, progression or outcomes, feedback or complaints</w:t>
      </w:r>
    </w:p>
    <w:p w14:paraId="300F502D" w14:textId="77777777" w:rsidR="009F4AC0" w:rsidRPr="004D2F21" w:rsidRDefault="002132D0">
      <w:pPr>
        <w:pStyle w:val="ListParagraph"/>
        <w:numPr>
          <w:ilvl w:val="0"/>
          <w:numId w:val="3"/>
        </w:numPr>
        <w:tabs>
          <w:tab w:val="left" w:pos="834"/>
        </w:tabs>
        <w:ind w:right="2226"/>
        <w:rPr>
          <w:rFonts w:ascii="Arial" w:hAnsi="Arial" w:cs="Arial"/>
          <w:color w:val="211E1F"/>
        </w:rPr>
      </w:pPr>
      <w:r w:rsidRPr="004D2F21">
        <w:rPr>
          <w:rFonts w:ascii="Arial" w:hAnsi="Arial" w:cs="Arial"/>
          <w:color w:val="211E1F"/>
        </w:rPr>
        <w:t>Does the policy/procedure/practice/decision take account of the needs of people with different protected characteristics? How is this</w:t>
      </w:r>
      <w:r w:rsidRPr="004D2F21">
        <w:rPr>
          <w:rFonts w:ascii="Arial" w:hAnsi="Arial" w:cs="Arial"/>
          <w:color w:val="211E1F"/>
          <w:spacing w:val="-5"/>
        </w:rPr>
        <w:t xml:space="preserve"> </w:t>
      </w:r>
      <w:r w:rsidRPr="004D2F21">
        <w:rPr>
          <w:rFonts w:ascii="Arial" w:hAnsi="Arial" w:cs="Arial"/>
          <w:color w:val="211E1F"/>
        </w:rPr>
        <w:t>demonstrated?</w:t>
      </w:r>
    </w:p>
    <w:p w14:paraId="300F502E" w14:textId="77777777" w:rsidR="009F4AC0" w:rsidRPr="004D2F21" w:rsidRDefault="002132D0">
      <w:pPr>
        <w:pStyle w:val="ListParagraph"/>
        <w:numPr>
          <w:ilvl w:val="0"/>
          <w:numId w:val="3"/>
        </w:numPr>
        <w:tabs>
          <w:tab w:val="left" w:pos="834"/>
        </w:tabs>
        <w:spacing w:before="39"/>
        <w:ind w:hanging="362"/>
        <w:rPr>
          <w:rFonts w:ascii="Arial" w:hAnsi="Arial" w:cs="Arial"/>
        </w:rPr>
      </w:pPr>
      <w:r w:rsidRPr="004D2F21">
        <w:rPr>
          <w:rFonts w:ascii="Arial" w:hAnsi="Arial" w:cs="Arial"/>
          <w:color w:val="211E1F"/>
        </w:rPr>
        <w:t>Does it affect some groups differently? Is this</w:t>
      </w:r>
      <w:r w:rsidRPr="004D2F21">
        <w:rPr>
          <w:rFonts w:ascii="Arial" w:hAnsi="Arial" w:cs="Arial"/>
          <w:color w:val="211E1F"/>
          <w:spacing w:val="-10"/>
        </w:rPr>
        <w:t xml:space="preserve"> </w:t>
      </w:r>
      <w:r w:rsidRPr="004D2F21">
        <w:rPr>
          <w:rFonts w:ascii="Arial" w:hAnsi="Arial" w:cs="Arial"/>
          <w:color w:val="211E1F"/>
        </w:rPr>
        <w:t>proportionate?</w:t>
      </w:r>
    </w:p>
    <w:p w14:paraId="300F502F" w14:textId="77777777" w:rsidR="009F4AC0" w:rsidRDefault="002132D0">
      <w:pPr>
        <w:spacing w:before="251"/>
        <w:ind w:left="112"/>
        <w:rPr>
          <w:sz w:val="20"/>
        </w:rPr>
      </w:pPr>
      <w:r>
        <w:rPr>
          <w:color w:val="211E1F"/>
          <w:sz w:val="20"/>
        </w:rPr>
        <w:t>See Note 6</w:t>
      </w:r>
    </w:p>
    <w:p w14:paraId="300F5030" w14:textId="77777777" w:rsidR="009F4AC0" w:rsidRDefault="009F4AC0">
      <w:pPr>
        <w:rPr>
          <w:sz w:val="20"/>
        </w:rPr>
        <w:sectPr w:rsidR="009F4AC0">
          <w:pgSz w:w="16840" w:h="11910" w:orient="landscape"/>
          <w:pgMar w:top="1100" w:right="680" w:bottom="880" w:left="1020" w:header="0" w:footer="608" w:gutter="0"/>
          <w:cols w:space="720"/>
        </w:sectPr>
      </w:pPr>
    </w:p>
    <w:p w14:paraId="300F5031" w14:textId="77777777" w:rsidR="009F4AC0" w:rsidRDefault="009F4AC0">
      <w:pPr>
        <w:spacing w:before="6" w:after="1"/>
        <w:rPr>
          <w:sz w:val="17"/>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1418"/>
        <w:gridCol w:w="5103"/>
        <w:gridCol w:w="1417"/>
        <w:gridCol w:w="4105"/>
      </w:tblGrid>
      <w:tr w:rsidR="009F4AC0" w14:paraId="300F5039" w14:textId="77777777" w:rsidTr="00073F90">
        <w:trPr>
          <w:trHeight w:val="1103"/>
        </w:trPr>
        <w:tc>
          <w:tcPr>
            <w:tcW w:w="2694" w:type="dxa"/>
            <w:shd w:val="clear" w:color="auto" w:fill="FCE9D9"/>
          </w:tcPr>
          <w:p w14:paraId="300F5032" w14:textId="77777777" w:rsidR="009F4AC0" w:rsidRDefault="002132D0">
            <w:pPr>
              <w:pStyle w:val="TableParagraph"/>
              <w:ind w:left="636" w:right="608" w:firstLine="191"/>
              <w:rPr>
                <w:sz w:val="24"/>
              </w:rPr>
            </w:pPr>
            <w:r>
              <w:rPr>
                <w:sz w:val="24"/>
              </w:rPr>
              <w:t>Protected characteristic</w:t>
            </w:r>
          </w:p>
        </w:tc>
        <w:tc>
          <w:tcPr>
            <w:tcW w:w="1418" w:type="dxa"/>
            <w:shd w:val="clear" w:color="auto" w:fill="FCE9D9"/>
          </w:tcPr>
          <w:p w14:paraId="300F5033" w14:textId="77777777" w:rsidR="009F4AC0" w:rsidRDefault="002132D0">
            <w:pPr>
              <w:pStyle w:val="TableParagraph"/>
              <w:spacing w:line="270" w:lineRule="atLeast"/>
              <w:ind w:left="235" w:right="216"/>
              <w:jc w:val="center"/>
              <w:rPr>
                <w:sz w:val="24"/>
              </w:rPr>
            </w:pPr>
            <w:r>
              <w:rPr>
                <w:sz w:val="24"/>
              </w:rPr>
              <w:t>Potential</w:t>
            </w:r>
            <w:r>
              <w:rPr>
                <w:w w:val="99"/>
                <w:sz w:val="24"/>
              </w:rPr>
              <w:t xml:space="preserve"> </w:t>
            </w:r>
            <w:r>
              <w:rPr>
                <w:sz w:val="24"/>
              </w:rPr>
              <w:t>Positive Impact Y/N</w:t>
            </w:r>
          </w:p>
        </w:tc>
        <w:tc>
          <w:tcPr>
            <w:tcW w:w="5103" w:type="dxa"/>
            <w:shd w:val="clear" w:color="auto" w:fill="FCE9D9"/>
          </w:tcPr>
          <w:p w14:paraId="300F5034" w14:textId="77777777" w:rsidR="009F4AC0" w:rsidRDefault="009F4AC0">
            <w:pPr>
              <w:pStyle w:val="TableParagraph"/>
              <w:spacing w:before="10"/>
              <w:rPr>
                <w:sz w:val="35"/>
              </w:rPr>
            </w:pPr>
          </w:p>
          <w:p w14:paraId="300F5035" w14:textId="77777777" w:rsidR="009F4AC0" w:rsidRDefault="002132D0">
            <w:pPr>
              <w:pStyle w:val="TableParagraph"/>
              <w:ind w:left="205"/>
              <w:rPr>
                <w:sz w:val="24"/>
              </w:rPr>
            </w:pPr>
            <w:r>
              <w:rPr>
                <w:sz w:val="24"/>
              </w:rPr>
              <w:t>Details of Expected Positive Impact</w:t>
            </w:r>
          </w:p>
        </w:tc>
        <w:tc>
          <w:tcPr>
            <w:tcW w:w="1417" w:type="dxa"/>
            <w:shd w:val="clear" w:color="auto" w:fill="FCE9D9"/>
          </w:tcPr>
          <w:p w14:paraId="300F5036" w14:textId="77777777" w:rsidR="009F4AC0" w:rsidRDefault="002132D0">
            <w:pPr>
              <w:pStyle w:val="TableParagraph"/>
              <w:spacing w:line="270" w:lineRule="atLeast"/>
              <w:ind w:left="117" w:right="104"/>
              <w:jc w:val="center"/>
              <w:rPr>
                <w:sz w:val="24"/>
              </w:rPr>
            </w:pPr>
            <w:r>
              <w:rPr>
                <w:sz w:val="24"/>
              </w:rPr>
              <w:t>Potential Negative Impact Y/N</w:t>
            </w:r>
          </w:p>
        </w:tc>
        <w:tc>
          <w:tcPr>
            <w:tcW w:w="4105" w:type="dxa"/>
            <w:shd w:val="clear" w:color="auto" w:fill="FCE9D9"/>
          </w:tcPr>
          <w:p w14:paraId="300F5037" w14:textId="77777777" w:rsidR="009F4AC0" w:rsidRDefault="009F4AC0">
            <w:pPr>
              <w:pStyle w:val="TableParagraph"/>
              <w:spacing w:before="10"/>
              <w:rPr>
                <w:sz w:val="35"/>
              </w:rPr>
            </w:pPr>
          </w:p>
          <w:p w14:paraId="300F5038" w14:textId="77777777" w:rsidR="009F4AC0" w:rsidRDefault="002132D0">
            <w:pPr>
              <w:pStyle w:val="TableParagraph"/>
              <w:ind w:left="703"/>
              <w:rPr>
                <w:sz w:val="24"/>
              </w:rPr>
            </w:pPr>
            <w:r>
              <w:rPr>
                <w:sz w:val="24"/>
              </w:rPr>
              <w:t>Details of Expected Negative Impact</w:t>
            </w:r>
          </w:p>
        </w:tc>
      </w:tr>
      <w:tr w:rsidR="009F4AC0" w14:paraId="300F503F" w14:textId="77777777" w:rsidTr="00073F90">
        <w:trPr>
          <w:trHeight w:val="623"/>
        </w:trPr>
        <w:tc>
          <w:tcPr>
            <w:tcW w:w="2694" w:type="dxa"/>
          </w:tcPr>
          <w:p w14:paraId="300F503A" w14:textId="77777777" w:rsidR="009F4AC0" w:rsidRDefault="002132D0">
            <w:pPr>
              <w:pStyle w:val="TableParagraph"/>
              <w:ind w:left="107"/>
              <w:rPr>
                <w:sz w:val="24"/>
              </w:rPr>
            </w:pPr>
            <w:r>
              <w:rPr>
                <w:sz w:val="24"/>
              </w:rPr>
              <w:t>Age</w:t>
            </w:r>
          </w:p>
        </w:tc>
        <w:tc>
          <w:tcPr>
            <w:tcW w:w="1418" w:type="dxa"/>
          </w:tcPr>
          <w:p w14:paraId="300F503B" w14:textId="2CCB4D82" w:rsidR="009F4AC0" w:rsidRPr="003E4D8F" w:rsidRDefault="00073F90">
            <w:pPr>
              <w:pStyle w:val="TableParagraph"/>
            </w:pPr>
            <w:r>
              <w:t>Yes</w:t>
            </w:r>
          </w:p>
        </w:tc>
        <w:tc>
          <w:tcPr>
            <w:tcW w:w="5103" w:type="dxa"/>
          </w:tcPr>
          <w:p w14:paraId="300F503C" w14:textId="54335868" w:rsidR="00CD3CF4" w:rsidRPr="003E4D8F" w:rsidRDefault="00CD3CF4">
            <w:pPr>
              <w:pStyle w:val="TableParagraph"/>
            </w:pPr>
            <w:r>
              <w:t xml:space="preserve">There is a perception </w:t>
            </w:r>
            <w:r w:rsidR="00A17777">
              <w:t>perhaps that young people are more likely to use/misuse drugs and alcohol but it is an issue which can impact all age groups. This update</w:t>
            </w:r>
            <w:r w:rsidR="00134D80">
              <w:t>d</w:t>
            </w:r>
            <w:r w:rsidR="00A17777">
              <w:t xml:space="preserve"> policy provides a consistent </w:t>
            </w:r>
            <w:r w:rsidR="009463B8">
              <w:t xml:space="preserve">and supportive </w:t>
            </w:r>
            <w:r w:rsidR="00A17777">
              <w:t>approach regardless of</w:t>
            </w:r>
            <w:r w:rsidR="00134D80">
              <w:t xml:space="preserve"> an</w:t>
            </w:r>
            <w:r w:rsidR="00A17777">
              <w:t xml:space="preserve"> employee’s age.</w:t>
            </w:r>
          </w:p>
        </w:tc>
        <w:tc>
          <w:tcPr>
            <w:tcW w:w="1417" w:type="dxa"/>
          </w:tcPr>
          <w:p w14:paraId="300F503D" w14:textId="3B315783" w:rsidR="009F4AC0" w:rsidRPr="003E4D8F" w:rsidRDefault="00447B23">
            <w:pPr>
              <w:pStyle w:val="TableParagraph"/>
            </w:pPr>
            <w:r>
              <w:t>Yes</w:t>
            </w:r>
          </w:p>
        </w:tc>
        <w:tc>
          <w:tcPr>
            <w:tcW w:w="4105" w:type="dxa"/>
          </w:tcPr>
          <w:p w14:paraId="300F503E" w14:textId="2BBE56A1" w:rsidR="009F4AC0" w:rsidRPr="003E4D8F" w:rsidRDefault="00447B23">
            <w:pPr>
              <w:pStyle w:val="TableParagraph"/>
            </w:pPr>
            <w:r>
              <w:t>You</w:t>
            </w:r>
            <w:r w:rsidR="002E29BD">
              <w:t>n</w:t>
            </w:r>
            <w:r>
              <w:t>ger employees may feel that they are unfairly targeted when older employees openly discuss their alcohol consumptions.</w:t>
            </w:r>
          </w:p>
        </w:tc>
      </w:tr>
      <w:tr w:rsidR="009F4AC0" w14:paraId="300F5045" w14:textId="77777777" w:rsidTr="00073F90">
        <w:trPr>
          <w:trHeight w:val="623"/>
        </w:trPr>
        <w:tc>
          <w:tcPr>
            <w:tcW w:w="2694" w:type="dxa"/>
          </w:tcPr>
          <w:p w14:paraId="300F5040" w14:textId="77777777" w:rsidR="009F4AC0" w:rsidRDefault="002132D0">
            <w:pPr>
              <w:pStyle w:val="TableParagraph"/>
              <w:ind w:left="107"/>
              <w:rPr>
                <w:sz w:val="24"/>
              </w:rPr>
            </w:pPr>
            <w:r>
              <w:rPr>
                <w:sz w:val="24"/>
              </w:rPr>
              <w:t>Disability</w:t>
            </w:r>
          </w:p>
        </w:tc>
        <w:tc>
          <w:tcPr>
            <w:tcW w:w="1418" w:type="dxa"/>
          </w:tcPr>
          <w:p w14:paraId="300F5041" w14:textId="5F243E92" w:rsidR="009F4AC0" w:rsidRPr="003E4D8F" w:rsidRDefault="00997739">
            <w:pPr>
              <w:pStyle w:val="TableParagraph"/>
            </w:pPr>
            <w:r>
              <w:t>Yes</w:t>
            </w:r>
          </w:p>
        </w:tc>
        <w:tc>
          <w:tcPr>
            <w:tcW w:w="5103" w:type="dxa"/>
          </w:tcPr>
          <w:p w14:paraId="300F5042" w14:textId="7DE453D1" w:rsidR="009F4AC0" w:rsidRPr="00997739" w:rsidRDefault="00AC0E51" w:rsidP="00997739">
            <w:pPr>
              <w:pStyle w:val="Default"/>
              <w:rPr>
                <w:sz w:val="23"/>
                <w:szCs w:val="23"/>
              </w:rPr>
            </w:pPr>
            <w:r>
              <w:rPr>
                <w:sz w:val="23"/>
                <w:szCs w:val="23"/>
              </w:rPr>
              <w:t xml:space="preserve">Provision of a consistent and supportive approach in College to issues or behaviours arising from substance misuse may benefit people with mental health conditions, learning impairments, learning difficulties and developmental conditions in particular, as these groups can be more vulnerable to the effects of substance </w:t>
            </w:r>
            <w:r w:rsidR="00073F90">
              <w:rPr>
                <w:sz w:val="23"/>
                <w:szCs w:val="23"/>
              </w:rPr>
              <w:t>misuse</w:t>
            </w:r>
            <w:r>
              <w:rPr>
                <w:sz w:val="23"/>
                <w:szCs w:val="23"/>
              </w:rPr>
              <w:t xml:space="preserve">. </w:t>
            </w:r>
          </w:p>
        </w:tc>
        <w:tc>
          <w:tcPr>
            <w:tcW w:w="1417" w:type="dxa"/>
          </w:tcPr>
          <w:p w14:paraId="300F5043" w14:textId="689D4AEE" w:rsidR="009F4AC0" w:rsidRPr="003E4D8F" w:rsidRDefault="00134D80">
            <w:pPr>
              <w:pStyle w:val="TableParagraph"/>
            </w:pPr>
            <w:r>
              <w:t>Yes</w:t>
            </w:r>
          </w:p>
        </w:tc>
        <w:tc>
          <w:tcPr>
            <w:tcW w:w="4105" w:type="dxa"/>
          </w:tcPr>
          <w:p w14:paraId="300F5044" w14:textId="19CC2715" w:rsidR="009F4AC0" w:rsidRPr="003E4D8F" w:rsidRDefault="00CB5309">
            <w:pPr>
              <w:pStyle w:val="TableParagraph"/>
            </w:pPr>
            <w:r>
              <w:t>Consideration</w:t>
            </w:r>
            <w:r w:rsidR="00134D80">
              <w:t xml:space="preserve"> may be needed</w:t>
            </w:r>
            <w:r>
              <w:t xml:space="preserve"> of the po</w:t>
            </w:r>
            <w:r w:rsidR="00134D80">
              <w:t>ssible</w:t>
            </w:r>
            <w:r>
              <w:t xml:space="preserve"> side effects of legitimate medication being taken</w:t>
            </w:r>
            <w:r w:rsidR="00134D80">
              <w:t xml:space="preserve"> by an employee</w:t>
            </w:r>
            <w:r w:rsidR="00183A02">
              <w:t xml:space="preserve"> (although this could apply to all employees not just those with a registered disability)</w:t>
            </w:r>
            <w:r w:rsidR="00134D80">
              <w:t xml:space="preserve"> – Occupational Health advice may be necessary here to eliminate/consider this possibility.</w:t>
            </w:r>
          </w:p>
        </w:tc>
      </w:tr>
      <w:tr w:rsidR="009F4AC0" w14:paraId="300F504B" w14:textId="77777777" w:rsidTr="00073F90">
        <w:trPr>
          <w:trHeight w:val="624"/>
        </w:trPr>
        <w:tc>
          <w:tcPr>
            <w:tcW w:w="2694" w:type="dxa"/>
          </w:tcPr>
          <w:p w14:paraId="300F5046" w14:textId="77777777" w:rsidR="009F4AC0" w:rsidRDefault="002132D0">
            <w:pPr>
              <w:pStyle w:val="TableParagraph"/>
              <w:spacing w:before="1"/>
              <w:ind w:left="107"/>
              <w:rPr>
                <w:sz w:val="24"/>
              </w:rPr>
            </w:pPr>
            <w:r>
              <w:rPr>
                <w:sz w:val="24"/>
              </w:rPr>
              <w:t>Gender reassignment</w:t>
            </w:r>
          </w:p>
        </w:tc>
        <w:tc>
          <w:tcPr>
            <w:tcW w:w="1418" w:type="dxa"/>
          </w:tcPr>
          <w:p w14:paraId="300F5047" w14:textId="6FA6AF20" w:rsidR="009F4AC0" w:rsidRPr="003E4D8F" w:rsidRDefault="00EA414F">
            <w:pPr>
              <w:pStyle w:val="TableParagraph"/>
            </w:pPr>
            <w:r>
              <w:t>Yes</w:t>
            </w:r>
          </w:p>
        </w:tc>
        <w:tc>
          <w:tcPr>
            <w:tcW w:w="5103" w:type="dxa"/>
          </w:tcPr>
          <w:p w14:paraId="300F5048" w14:textId="287F32BA" w:rsidR="009F4AC0" w:rsidRPr="00EA414F" w:rsidRDefault="00EA414F" w:rsidP="00EA414F">
            <w:pPr>
              <w:widowControl/>
              <w:adjustRightInd w:val="0"/>
              <w:rPr>
                <w:rFonts w:eastAsiaTheme="minorHAnsi"/>
                <w:color w:val="000000"/>
                <w:sz w:val="23"/>
                <w:szCs w:val="23"/>
                <w:lang w:eastAsia="en-US" w:bidi="ar-SA"/>
              </w:rPr>
            </w:pPr>
            <w:r>
              <w:rPr>
                <w:rFonts w:eastAsiaTheme="minorHAnsi"/>
                <w:color w:val="000000"/>
                <w:sz w:val="23"/>
                <w:szCs w:val="23"/>
                <w:lang w:eastAsia="en-US" w:bidi="ar-SA"/>
              </w:rPr>
              <w:t>Employees who have been through, or are going through, gender reassignment</w:t>
            </w:r>
            <w:r w:rsidRPr="00997739">
              <w:rPr>
                <w:rFonts w:eastAsiaTheme="minorHAnsi"/>
                <w:color w:val="000000"/>
                <w:sz w:val="23"/>
                <w:szCs w:val="23"/>
                <w:lang w:eastAsia="en-US" w:bidi="ar-SA"/>
              </w:rPr>
              <w:t xml:space="preserve"> may have</w:t>
            </w:r>
            <w:r>
              <w:rPr>
                <w:rFonts w:eastAsiaTheme="minorHAnsi"/>
                <w:color w:val="000000"/>
                <w:sz w:val="23"/>
                <w:szCs w:val="23"/>
                <w:lang w:eastAsia="en-US" w:bidi="ar-SA"/>
              </w:rPr>
              <w:t xml:space="preserve"> had</w:t>
            </w:r>
            <w:r w:rsidRPr="00997739">
              <w:rPr>
                <w:rFonts w:eastAsiaTheme="minorHAnsi"/>
                <w:color w:val="000000"/>
                <w:sz w:val="23"/>
                <w:szCs w:val="23"/>
                <w:lang w:eastAsia="en-US" w:bidi="ar-SA"/>
              </w:rPr>
              <w:t xml:space="preserve"> to face additional challenges in their lives, such a</w:t>
            </w:r>
            <w:r>
              <w:rPr>
                <w:rFonts w:eastAsiaTheme="minorHAnsi"/>
                <w:color w:val="000000"/>
                <w:sz w:val="23"/>
                <w:szCs w:val="23"/>
                <w:lang w:eastAsia="en-US" w:bidi="ar-SA"/>
              </w:rPr>
              <w:t>s harassment or</w:t>
            </w:r>
            <w:r w:rsidRPr="00997739">
              <w:rPr>
                <w:rFonts w:eastAsiaTheme="minorHAnsi"/>
                <w:color w:val="000000"/>
                <w:sz w:val="23"/>
                <w:szCs w:val="23"/>
                <w:lang w:eastAsia="en-US" w:bidi="ar-SA"/>
              </w:rPr>
              <w:t xml:space="preserve"> discrimination, with subsequent </w:t>
            </w:r>
            <w:r>
              <w:rPr>
                <w:rFonts w:eastAsiaTheme="minorHAnsi"/>
                <w:color w:val="000000"/>
                <w:sz w:val="23"/>
                <w:szCs w:val="23"/>
                <w:lang w:eastAsia="en-US" w:bidi="ar-SA"/>
              </w:rPr>
              <w:t xml:space="preserve">possible </w:t>
            </w:r>
            <w:r w:rsidRPr="00997739">
              <w:rPr>
                <w:rFonts w:eastAsiaTheme="minorHAnsi"/>
                <w:color w:val="000000"/>
                <w:sz w:val="23"/>
                <w:szCs w:val="23"/>
                <w:lang w:eastAsia="en-US" w:bidi="ar-SA"/>
              </w:rPr>
              <w:t>negative effects on their mental wellbeing</w:t>
            </w:r>
            <w:r>
              <w:rPr>
                <w:rFonts w:eastAsiaTheme="minorHAnsi"/>
                <w:color w:val="000000"/>
                <w:sz w:val="23"/>
                <w:szCs w:val="23"/>
                <w:lang w:eastAsia="en-US" w:bidi="ar-SA"/>
              </w:rPr>
              <w:t xml:space="preserve"> which may then potentially make them more at risk from substance misuse – provision of a consistent and supportive framework is likely to be a positive support for</w:t>
            </w:r>
            <w:r w:rsidR="0072421C">
              <w:rPr>
                <w:rFonts w:eastAsiaTheme="minorHAnsi"/>
                <w:color w:val="000000"/>
                <w:sz w:val="23"/>
                <w:szCs w:val="23"/>
                <w:lang w:eastAsia="en-US" w:bidi="ar-SA"/>
              </w:rPr>
              <w:t xml:space="preserve"> gender reassigned employees.</w:t>
            </w:r>
            <w:r w:rsidRPr="00997739">
              <w:rPr>
                <w:rFonts w:eastAsiaTheme="minorHAnsi"/>
                <w:color w:val="000000"/>
                <w:sz w:val="23"/>
                <w:szCs w:val="23"/>
                <w:lang w:eastAsia="en-US" w:bidi="ar-SA"/>
              </w:rPr>
              <w:t xml:space="preserve"> </w:t>
            </w:r>
          </w:p>
        </w:tc>
        <w:tc>
          <w:tcPr>
            <w:tcW w:w="1417" w:type="dxa"/>
          </w:tcPr>
          <w:p w14:paraId="300F5049" w14:textId="400E2CB7" w:rsidR="009F4AC0" w:rsidRPr="003E4D8F" w:rsidRDefault="00447B23">
            <w:pPr>
              <w:pStyle w:val="TableParagraph"/>
            </w:pPr>
            <w:r>
              <w:t>Yes</w:t>
            </w:r>
          </w:p>
        </w:tc>
        <w:tc>
          <w:tcPr>
            <w:tcW w:w="4105" w:type="dxa"/>
          </w:tcPr>
          <w:p w14:paraId="300F504A" w14:textId="63B9D705" w:rsidR="009F4AC0" w:rsidRPr="003E4D8F" w:rsidRDefault="00447B23">
            <w:pPr>
              <w:pStyle w:val="TableParagraph"/>
            </w:pPr>
            <w:r>
              <w:t xml:space="preserve">Similar to disability, consideration may be needed for legitimate medication taken by an employee when transitioning or recovering from medical procedures.  </w:t>
            </w:r>
          </w:p>
        </w:tc>
      </w:tr>
      <w:tr w:rsidR="009F4AC0" w14:paraId="300F5051" w14:textId="77777777" w:rsidTr="00073F90">
        <w:trPr>
          <w:trHeight w:val="829"/>
        </w:trPr>
        <w:tc>
          <w:tcPr>
            <w:tcW w:w="2694" w:type="dxa"/>
          </w:tcPr>
          <w:p w14:paraId="300F504C" w14:textId="77777777" w:rsidR="009F4AC0" w:rsidRDefault="002132D0">
            <w:pPr>
              <w:pStyle w:val="TableParagraph"/>
              <w:spacing w:before="2" w:line="270" w:lineRule="atLeast"/>
              <w:ind w:left="107" w:right="96"/>
              <w:rPr>
                <w:sz w:val="24"/>
              </w:rPr>
            </w:pPr>
            <w:r>
              <w:rPr>
                <w:sz w:val="24"/>
              </w:rPr>
              <w:t>Marriage/civil partnership (relevant in employment law)</w:t>
            </w:r>
          </w:p>
        </w:tc>
        <w:tc>
          <w:tcPr>
            <w:tcW w:w="1418" w:type="dxa"/>
          </w:tcPr>
          <w:p w14:paraId="300F504D" w14:textId="1BB97C44" w:rsidR="009F4AC0" w:rsidRPr="003E4D8F" w:rsidRDefault="00134D80">
            <w:pPr>
              <w:pStyle w:val="TableParagraph"/>
            </w:pPr>
            <w:r>
              <w:t>Neutral</w:t>
            </w:r>
          </w:p>
        </w:tc>
        <w:tc>
          <w:tcPr>
            <w:tcW w:w="5103" w:type="dxa"/>
          </w:tcPr>
          <w:p w14:paraId="300F504E" w14:textId="43E78BB9" w:rsidR="009F4AC0" w:rsidRPr="003E4D8F" w:rsidRDefault="009F4AC0">
            <w:pPr>
              <w:pStyle w:val="TableParagraph"/>
            </w:pPr>
          </w:p>
        </w:tc>
        <w:tc>
          <w:tcPr>
            <w:tcW w:w="1417" w:type="dxa"/>
          </w:tcPr>
          <w:p w14:paraId="300F504F" w14:textId="4A7EE25C" w:rsidR="009F4AC0" w:rsidRPr="003E4D8F" w:rsidRDefault="00CB5309">
            <w:pPr>
              <w:pStyle w:val="TableParagraph"/>
            </w:pPr>
            <w:r>
              <w:t>N</w:t>
            </w:r>
            <w:r w:rsidR="00134D80">
              <w:t>eutral</w:t>
            </w:r>
          </w:p>
        </w:tc>
        <w:tc>
          <w:tcPr>
            <w:tcW w:w="4105" w:type="dxa"/>
          </w:tcPr>
          <w:p w14:paraId="300F5050" w14:textId="77777777" w:rsidR="009F4AC0" w:rsidRPr="003E4D8F" w:rsidRDefault="009F4AC0">
            <w:pPr>
              <w:pStyle w:val="TableParagraph"/>
            </w:pPr>
          </w:p>
        </w:tc>
      </w:tr>
      <w:tr w:rsidR="009F4AC0" w14:paraId="300F5057" w14:textId="77777777" w:rsidTr="00073F90">
        <w:trPr>
          <w:trHeight w:val="623"/>
        </w:trPr>
        <w:tc>
          <w:tcPr>
            <w:tcW w:w="2694" w:type="dxa"/>
          </w:tcPr>
          <w:p w14:paraId="300F5052" w14:textId="77777777" w:rsidR="009F4AC0" w:rsidRDefault="002132D0">
            <w:pPr>
              <w:pStyle w:val="TableParagraph"/>
              <w:ind w:left="107" w:right="936"/>
              <w:rPr>
                <w:sz w:val="24"/>
              </w:rPr>
            </w:pPr>
            <w:r>
              <w:rPr>
                <w:sz w:val="24"/>
              </w:rPr>
              <w:t>Pregnancy and Maternity</w:t>
            </w:r>
          </w:p>
        </w:tc>
        <w:tc>
          <w:tcPr>
            <w:tcW w:w="1418" w:type="dxa"/>
          </w:tcPr>
          <w:p w14:paraId="300F5053" w14:textId="6B7ABD02" w:rsidR="009F4AC0" w:rsidRPr="003E4D8F" w:rsidRDefault="00447B23">
            <w:pPr>
              <w:pStyle w:val="TableParagraph"/>
            </w:pPr>
            <w:r>
              <w:t>Yes</w:t>
            </w:r>
          </w:p>
        </w:tc>
        <w:tc>
          <w:tcPr>
            <w:tcW w:w="5103" w:type="dxa"/>
          </w:tcPr>
          <w:p w14:paraId="32038951" w14:textId="77777777" w:rsidR="009F4AC0" w:rsidRDefault="00B41878">
            <w:pPr>
              <w:pStyle w:val="TableParagraph"/>
            </w:pPr>
            <w:r>
              <w:t>Employees will be able to access confidential wellbeing support if they are concerned about the impact of alcohol or substance misuse on pregnancy and maternity.</w:t>
            </w:r>
          </w:p>
          <w:p w14:paraId="300F5054" w14:textId="0DAC9CAE" w:rsidR="00B41878" w:rsidRPr="003E4D8F" w:rsidRDefault="00B41878">
            <w:pPr>
              <w:pStyle w:val="TableParagraph"/>
            </w:pPr>
          </w:p>
        </w:tc>
        <w:tc>
          <w:tcPr>
            <w:tcW w:w="1417" w:type="dxa"/>
          </w:tcPr>
          <w:p w14:paraId="300F5055" w14:textId="6990FB86" w:rsidR="009F4AC0" w:rsidRPr="003E4D8F" w:rsidRDefault="00B41878">
            <w:pPr>
              <w:pStyle w:val="TableParagraph"/>
            </w:pPr>
            <w:r>
              <w:t>Yes</w:t>
            </w:r>
          </w:p>
        </w:tc>
        <w:tc>
          <w:tcPr>
            <w:tcW w:w="4105" w:type="dxa"/>
          </w:tcPr>
          <w:p w14:paraId="300F5056" w14:textId="310C6D37" w:rsidR="009F4AC0" w:rsidRPr="003E4D8F" w:rsidRDefault="00B41878">
            <w:pPr>
              <w:pStyle w:val="TableParagraph"/>
            </w:pPr>
            <w:r>
              <w:t xml:space="preserve">Employees may be reluctant to seek support due to the </w:t>
            </w:r>
            <w:r w:rsidR="002E29BD">
              <w:t xml:space="preserve">potential </w:t>
            </w:r>
            <w:r>
              <w:t>stigma</w:t>
            </w:r>
            <w:r w:rsidR="002E29BD">
              <w:t xml:space="preserve"> of using/misusing alcohol or substances during pregnancy/maternity.</w:t>
            </w:r>
            <w:r>
              <w:t xml:space="preserve">  Employees may need to be reassured that access to </w:t>
            </w:r>
            <w:r w:rsidR="002E29BD">
              <w:t xml:space="preserve">any </w:t>
            </w:r>
            <w:r>
              <w:t>wellbeing and</w:t>
            </w:r>
            <w:r w:rsidR="002E29BD">
              <w:t>/or</w:t>
            </w:r>
            <w:r>
              <w:t xml:space="preserve"> counselling support </w:t>
            </w:r>
            <w:r w:rsidR="002E29BD">
              <w:t>is</w:t>
            </w:r>
            <w:r>
              <w:t xml:space="preserve"> confidential.</w:t>
            </w:r>
          </w:p>
        </w:tc>
      </w:tr>
      <w:tr w:rsidR="009F4AC0" w14:paraId="300F505D" w14:textId="77777777" w:rsidTr="00073F90">
        <w:trPr>
          <w:trHeight w:val="623"/>
        </w:trPr>
        <w:tc>
          <w:tcPr>
            <w:tcW w:w="2694" w:type="dxa"/>
          </w:tcPr>
          <w:p w14:paraId="300F5058" w14:textId="77777777" w:rsidR="009F4AC0" w:rsidRDefault="002132D0">
            <w:pPr>
              <w:pStyle w:val="TableParagraph"/>
              <w:ind w:left="107"/>
              <w:rPr>
                <w:sz w:val="24"/>
              </w:rPr>
            </w:pPr>
            <w:r>
              <w:rPr>
                <w:sz w:val="24"/>
              </w:rPr>
              <w:lastRenderedPageBreak/>
              <w:t>Race</w:t>
            </w:r>
          </w:p>
        </w:tc>
        <w:tc>
          <w:tcPr>
            <w:tcW w:w="1418" w:type="dxa"/>
          </w:tcPr>
          <w:p w14:paraId="300F5059" w14:textId="462B49A6" w:rsidR="009F4AC0" w:rsidRPr="003E4D8F" w:rsidRDefault="00346554">
            <w:pPr>
              <w:pStyle w:val="TableParagraph"/>
            </w:pPr>
            <w:r>
              <w:t>Yes</w:t>
            </w:r>
          </w:p>
        </w:tc>
        <w:tc>
          <w:tcPr>
            <w:tcW w:w="5103" w:type="dxa"/>
          </w:tcPr>
          <w:p w14:paraId="300F505A" w14:textId="7DA8A7FE" w:rsidR="009F4AC0" w:rsidRPr="0072421C" w:rsidRDefault="00346554" w:rsidP="0072421C">
            <w:pPr>
              <w:widowControl/>
              <w:adjustRightInd w:val="0"/>
              <w:rPr>
                <w:rFonts w:eastAsiaTheme="minorHAnsi"/>
                <w:color w:val="000000"/>
                <w:sz w:val="23"/>
                <w:szCs w:val="23"/>
                <w:lang w:eastAsia="en-US" w:bidi="ar-SA"/>
              </w:rPr>
            </w:pPr>
            <w:r>
              <w:rPr>
                <w:rFonts w:eastAsiaTheme="minorHAnsi"/>
                <w:color w:val="000000"/>
                <w:sz w:val="23"/>
                <w:szCs w:val="23"/>
                <w:lang w:eastAsia="en-US" w:bidi="ar-SA"/>
              </w:rPr>
              <w:t>BME</w:t>
            </w:r>
            <w:r w:rsidRPr="00997739">
              <w:rPr>
                <w:rFonts w:eastAsiaTheme="minorHAnsi"/>
                <w:color w:val="000000"/>
                <w:sz w:val="23"/>
                <w:szCs w:val="23"/>
                <w:lang w:eastAsia="en-US" w:bidi="ar-SA"/>
              </w:rPr>
              <w:t xml:space="preserve"> </w:t>
            </w:r>
            <w:r>
              <w:rPr>
                <w:rFonts w:eastAsiaTheme="minorHAnsi"/>
                <w:color w:val="000000"/>
                <w:sz w:val="23"/>
                <w:szCs w:val="23"/>
                <w:lang w:eastAsia="en-US" w:bidi="ar-SA"/>
              </w:rPr>
              <w:t>employees</w:t>
            </w:r>
            <w:r w:rsidRPr="00997739">
              <w:rPr>
                <w:rFonts w:eastAsiaTheme="minorHAnsi"/>
                <w:color w:val="000000"/>
                <w:sz w:val="23"/>
                <w:szCs w:val="23"/>
                <w:lang w:eastAsia="en-US" w:bidi="ar-SA"/>
              </w:rPr>
              <w:t xml:space="preserve"> may have face</w:t>
            </w:r>
            <w:r w:rsidR="009463B8">
              <w:rPr>
                <w:rFonts w:eastAsiaTheme="minorHAnsi"/>
                <w:color w:val="000000"/>
                <w:sz w:val="23"/>
                <w:szCs w:val="23"/>
                <w:lang w:eastAsia="en-US" w:bidi="ar-SA"/>
              </w:rPr>
              <w:t>d</w:t>
            </w:r>
            <w:r w:rsidRPr="00997739">
              <w:rPr>
                <w:rFonts w:eastAsiaTheme="minorHAnsi"/>
                <w:color w:val="000000"/>
                <w:sz w:val="23"/>
                <w:szCs w:val="23"/>
                <w:lang w:eastAsia="en-US" w:bidi="ar-SA"/>
              </w:rPr>
              <w:t xml:space="preserve"> additional challenges in their lives, such as </w:t>
            </w:r>
            <w:r>
              <w:rPr>
                <w:rFonts w:eastAsiaTheme="minorHAnsi"/>
                <w:color w:val="000000"/>
                <w:sz w:val="23"/>
                <w:szCs w:val="23"/>
                <w:lang w:eastAsia="en-US" w:bidi="ar-SA"/>
              </w:rPr>
              <w:t>racial harassment or</w:t>
            </w:r>
            <w:r w:rsidRPr="00997739">
              <w:rPr>
                <w:rFonts w:eastAsiaTheme="minorHAnsi"/>
                <w:color w:val="000000"/>
                <w:sz w:val="23"/>
                <w:szCs w:val="23"/>
                <w:lang w:eastAsia="en-US" w:bidi="ar-SA"/>
              </w:rPr>
              <w:t xml:space="preserve"> discrimination, with subsequent </w:t>
            </w:r>
            <w:r>
              <w:rPr>
                <w:rFonts w:eastAsiaTheme="minorHAnsi"/>
                <w:color w:val="000000"/>
                <w:sz w:val="23"/>
                <w:szCs w:val="23"/>
                <w:lang w:eastAsia="en-US" w:bidi="ar-SA"/>
              </w:rPr>
              <w:t xml:space="preserve">possible </w:t>
            </w:r>
            <w:r w:rsidRPr="00997739">
              <w:rPr>
                <w:rFonts w:eastAsiaTheme="minorHAnsi"/>
                <w:color w:val="000000"/>
                <w:sz w:val="23"/>
                <w:szCs w:val="23"/>
                <w:lang w:eastAsia="en-US" w:bidi="ar-SA"/>
              </w:rPr>
              <w:t>negative effects on their mental wellbeing</w:t>
            </w:r>
            <w:r>
              <w:rPr>
                <w:rFonts w:eastAsiaTheme="minorHAnsi"/>
                <w:color w:val="000000"/>
                <w:sz w:val="23"/>
                <w:szCs w:val="23"/>
                <w:lang w:eastAsia="en-US" w:bidi="ar-SA"/>
              </w:rPr>
              <w:t xml:space="preserve"> which may then potentially make them more at risk from substance misuse – provision of a consistent and supportive framework is likely to be a positive support for </w:t>
            </w:r>
            <w:r w:rsidR="0072421C">
              <w:rPr>
                <w:rFonts w:eastAsiaTheme="minorHAnsi"/>
                <w:color w:val="000000"/>
                <w:sz w:val="23"/>
                <w:szCs w:val="23"/>
                <w:lang w:eastAsia="en-US" w:bidi="ar-SA"/>
              </w:rPr>
              <w:t>BME</w:t>
            </w:r>
            <w:r>
              <w:rPr>
                <w:rFonts w:eastAsiaTheme="minorHAnsi"/>
                <w:color w:val="000000"/>
                <w:sz w:val="23"/>
                <w:szCs w:val="23"/>
                <w:lang w:eastAsia="en-US" w:bidi="ar-SA"/>
              </w:rPr>
              <w:t xml:space="preserve"> employees.</w:t>
            </w:r>
            <w:r w:rsidRPr="00997739">
              <w:rPr>
                <w:rFonts w:eastAsiaTheme="minorHAnsi"/>
                <w:color w:val="000000"/>
                <w:sz w:val="23"/>
                <w:szCs w:val="23"/>
                <w:lang w:eastAsia="en-US" w:bidi="ar-SA"/>
              </w:rPr>
              <w:t xml:space="preserve"> </w:t>
            </w:r>
          </w:p>
        </w:tc>
        <w:tc>
          <w:tcPr>
            <w:tcW w:w="1417" w:type="dxa"/>
          </w:tcPr>
          <w:p w14:paraId="300F505B" w14:textId="6FCC6028" w:rsidR="009F4AC0" w:rsidRPr="003E4D8F" w:rsidRDefault="00B41878">
            <w:pPr>
              <w:pStyle w:val="TableParagraph"/>
            </w:pPr>
            <w:r>
              <w:t>Yes</w:t>
            </w:r>
          </w:p>
        </w:tc>
        <w:tc>
          <w:tcPr>
            <w:tcW w:w="4105" w:type="dxa"/>
          </w:tcPr>
          <w:p w14:paraId="0F4BCC37" w14:textId="251330D9" w:rsidR="002E29BD" w:rsidRDefault="00B41878">
            <w:pPr>
              <w:pStyle w:val="TableParagraph"/>
            </w:pPr>
            <w:r>
              <w:t xml:space="preserve">It is well researched that due to the stigma of alcohol and substance misuse in many minority ethnic communities, </w:t>
            </w:r>
            <w:r w:rsidR="002E29BD">
              <w:t>BME employees</w:t>
            </w:r>
            <w:r>
              <w:t xml:space="preserve"> are </w:t>
            </w:r>
            <w:r w:rsidR="002E29BD">
              <w:t xml:space="preserve">likely to be </w:t>
            </w:r>
            <w:r>
              <w:t xml:space="preserve">reluctant to seek help or support until they reach a crisis point.  </w:t>
            </w:r>
            <w:r w:rsidR="002E29BD">
              <w:t>Employees may need to be reassured that access to any wellbeing and/or counselling support is confidential.</w:t>
            </w:r>
          </w:p>
          <w:p w14:paraId="011E8AD7" w14:textId="77777777" w:rsidR="002E29BD" w:rsidRDefault="002E29BD">
            <w:pPr>
              <w:pStyle w:val="TableParagraph"/>
            </w:pPr>
          </w:p>
          <w:p w14:paraId="38ECDFC7" w14:textId="042AFA19" w:rsidR="009F4AC0" w:rsidRDefault="00B41878">
            <w:pPr>
              <w:pStyle w:val="TableParagraph"/>
            </w:pPr>
            <w:r>
              <w:t xml:space="preserve">It is </w:t>
            </w:r>
            <w:r w:rsidR="002E29BD">
              <w:t xml:space="preserve">also </w:t>
            </w:r>
            <w:r>
              <w:t>because of th</w:t>
            </w:r>
            <w:r w:rsidR="002E29BD">
              <w:t>is</w:t>
            </w:r>
            <w:r>
              <w:t xml:space="preserve"> stigma</w:t>
            </w:r>
            <w:r w:rsidR="002E29BD">
              <w:t xml:space="preserve"> to alcohol and substance misuse</w:t>
            </w:r>
            <w:r>
              <w:t xml:space="preserve">, </w:t>
            </w:r>
            <w:r w:rsidR="002E29BD">
              <w:t xml:space="preserve">that </w:t>
            </w:r>
            <w:r>
              <w:t xml:space="preserve">some BME </w:t>
            </w:r>
            <w:r w:rsidR="002E29BD">
              <w:t>employees</w:t>
            </w:r>
            <w:r>
              <w:t xml:space="preserve"> may judge other employees who seek help and support under this policy.</w:t>
            </w:r>
          </w:p>
          <w:p w14:paraId="300F505C" w14:textId="13D3A1A4" w:rsidR="00B41878" w:rsidRPr="003E4D8F" w:rsidRDefault="00B41878">
            <w:pPr>
              <w:pStyle w:val="TableParagraph"/>
            </w:pPr>
          </w:p>
        </w:tc>
      </w:tr>
      <w:tr w:rsidR="009F4AC0" w14:paraId="300F5063" w14:textId="77777777" w:rsidTr="00073F90">
        <w:trPr>
          <w:trHeight w:val="623"/>
        </w:trPr>
        <w:tc>
          <w:tcPr>
            <w:tcW w:w="2694" w:type="dxa"/>
          </w:tcPr>
          <w:p w14:paraId="300F505E" w14:textId="77777777" w:rsidR="009F4AC0" w:rsidRDefault="002132D0">
            <w:pPr>
              <w:pStyle w:val="TableParagraph"/>
              <w:ind w:left="107"/>
              <w:rPr>
                <w:sz w:val="24"/>
              </w:rPr>
            </w:pPr>
            <w:r>
              <w:rPr>
                <w:sz w:val="24"/>
              </w:rPr>
              <w:t>Religion or belief</w:t>
            </w:r>
          </w:p>
        </w:tc>
        <w:tc>
          <w:tcPr>
            <w:tcW w:w="1418" w:type="dxa"/>
          </w:tcPr>
          <w:p w14:paraId="300F505F" w14:textId="7FC945C1" w:rsidR="009F4AC0" w:rsidRPr="003E4D8F" w:rsidRDefault="00B41878">
            <w:pPr>
              <w:pStyle w:val="TableParagraph"/>
            </w:pPr>
            <w:r>
              <w:t>Yes</w:t>
            </w:r>
          </w:p>
        </w:tc>
        <w:tc>
          <w:tcPr>
            <w:tcW w:w="5103" w:type="dxa"/>
          </w:tcPr>
          <w:p w14:paraId="300F5060" w14:textId="1890928E" w:rsidR="009F4AC0" w:rsidRPr="003E4D8F" w:rsidRDefault="00B41878">
            <w:pPr>
              <w:pStyle w:val="TableParagraph"/>
            </w:pPr>
            <w:r>
              <w:t>The College will ensure that all employees will be able to access support regardless of the</w:t>
            </w:r>
            <w:r w:rsidR="002E29BD">
              <w:t>ir</w:t>
            </w:r>
            <w:r>
              <w:t xml:space="preserve"> religion or belief.</w:t>
            </w:r>
          </w:p>
        </w:tc>
        <w:tc>
          <w:tcPr>
            <w:tcW w:w="1417" w:type="dxa"/>
          </w:tcPr>
          <w:p w14:paraId="300F5061" w14:textId="01CCDFD1" w:rsidR="009F4AC0" w:rsidRPr="003E4D8F" w:rsidRDefault="00134D80">
            <w:pPr>
              <w:pStyle w:val="TableParagraph"/>
            </w:pPr>
            <w:r>
              <w:t>Yes</w:t>
            </w:r>
          </w:p>
        </w:tc>
        <w:tc>
          <w:tcPr>
            <w:tcW w:w="4105" w:type="dxa"/>
          </w:tcPr>
          <w:p w14:paraId="6EB16EA9" w14:textId="2929BBDD" w:rsidR="009F4AC0" w:rsidRDefault="00CB5309">
            <w:pPr>
              <w:pStyle w:val="TableParagraph"/>
            </w:pPr>
            <w:r>
              <w:t xml:space="preserve">Raising a potential </w:t>
            </w:r>
            <w:r w:rsidR="002E29BD">
              <w:t xml:space="preserve">alcohol or </w:t>
            </w:r>
            <w:r>
              <w:t>substance misuse problem may cause offence to those with religious objections to drinking alcohol or taking drugs/substances.</w:t>
            </w:r>
          </w:p>
          <w:p w14:paraId="20D350BF" w14:textId="77777777" w:rsidR="00B41878" w:rsidRDefault="00B41878">
            <w:pPr>
              <w:pStyle w:val="TableParagraph"/>
            </w:pPr>
          </w:p>
          <w:p w14:paraId="48692C86" w14:textId="7AC1434D" w:rsidR="00B41878" w:rsidRDefault="00B41878">
            <w:pPr>
              <w:pStyle w:val="TableParagraph"/>
            </w:pPr>
            <w:r>
              <w:t xml:space="preserve">Similar to </w:t>
            </w:r>
            <w:r w:rsidR="002E29BD">
              <w:t>r</w:t>
            </w:r>
            <w:r>
              <w:t xml:space="preserve">ace, some </w:t>
            </w:r>
            <w:r w:rsidR="002E29BD">
              <w:t>employees</w:t>
            </w:r>
            <w:r>
              <w:t xml:space="preserve"> may be reluctant to seek help because of their religion or belief.</w:t>
            </w:r>
          </w:p>
          <w:p w14:paraId="300F5062" w14:textId="19576277" w:rsidR="00B41878" w:rsidRPr="003E4D8F" w:rsidRDefault="00B41878">
            <w:pPr>
              <w:pStyle w:val="TableParagraph"/>
            </w:pPr>
          </w:p>
        </w:tc>
      </w:tr>
      <w:tr w:rsidR="009F4AC0" w14:paraId="300F5069" w14:textId="77777777" w:rsidTr="00073F90">
        <w:trPr>
          <w:trHeight w:val="623"/>
        </w:trPr>
        <w:tc>
          <w:tcPr>
            <w:tcW w:w="2694" w:type="dxa"/>
          </w:tcPr>
          <w:p w14:paraId="300F5064" w14:textId="77777777" w:rsidR="009F4AC0" w:rsidRDefault="002132D0">
            <w:pPr>
              <w:pStyle w:val="TableParagraph"/>
              <w:ind w:left="107"/>
              <w:rPr>
                <w:sz w:val="24"/>
              </w:rPr>
            </w:pPr>
            <w:r>
              <w:rPr>
                <w:sz w:val="24"/>
              </w:rPr>
              <w:t>Sex</w:t>
            </w:r>
          </w:p>
        </w:tc>
        <w:tc>
          <w:tcPr>
            <w:tcW w:w="1418" w:type="dxa"/>
          </w:tcPr>
          <w:p w14:paraId="300F5065" w14:textId="633FCD9E" w:rsidR="009F4AC0" w:rsidRPr="003E4D8F" w:rsidRDefault="00B41878">
            <w:pPr>
              <w:pStyle w:val="TableParagraph"/>
            </w:pPr>
            <w:r>
              <w:t>Yes</w:t>
            </w:r>
          </w:p>
        </w:tc>
        <w:tc>
          <w:tcPr>
            <w:tcW w:w="5103" w:type="dxa"/>
          </w:tcPr>
          <w:p w14:paraId="1B5C307F" w14:textId="13D14C89" w:rsidR="009F4AC0" w:rsidRDefault="00827FFD">
            <w:pPr>
              <w:pStyle w:val="TableParagraph"/>
            </w:pPr>
            <w:r w:rsidRPr="00827FFD">
              <w:t>The College will ensure that all employees will be able to access support regardless of the</w:t>
            </w:r>
            <w:r w:rsidR="002E29BD">
              <w:t>ir</w:t>
            </w:r>
            <w:r w:rsidRPr="00827FFD">
              <w:t xml:space="preserve"> </w:t>
            </w:r>
            <w:r>
              <w:t>sex or gender.</w:t>
            </w:r>
          </w:p>
          <w:p w14:paraId="300F5066" w14:textId="3C1F646B" w:rsidR="00827FFD" w:rsidRPr="003E4D8F" w:rsidRDefault="00827FFD">
            <w:pPr>
              <w:pStyle w:val="TableParagraph"/>
            </w:pPr>
          </w:p>
        </w:tc>
        <w:tc>
          <w:tcPr>
            <w:tcW w:w="1417" w:type="dxa"/>
          </w:tcPr>
          <w:p w14:paraId="300F5067" w14:textId="310A3324" w:rsidR="009F4AC0" w:rsidRPr="003E4D8F" w:rsidRDefault="00827FFD">
            <w:pPr>
              <w:pStyle w:val="TableParagraph"/>
            </w:pPr>
            <w:r>
              <w:t>Yes</w:t>
            </w:r>
          </w:p>
        </w:tc>
        <w:tc>
          <w:tcPr>
            <w:tcW w:w="4105" w:type="dxa"/>
          </w:tcPr>
          <w:p w14:paraId="0DF9DF51" w14:textId="29633F8A" w:rsidR="009F4AC0" w:rsidRDefault="002E29BD">
            <w:pPr>
              <w:pStyle w:val="TableParagraph"/>
            </w:pPr>
            <w:r>
              <w:t xml:space="preserve">In general, male </w:t>
            </w:r>
            <w:r w:rsidR="00827FFD">
              <w:t xml:space="preserve">employees </w:t>
            </w:r>
            <w:r>
              <w:t xml:space="preserve">are less likely to seek </w:t>
            </w:r>
            <w:r w:rsidR="00827FFD">
              <w:t>wellbeing and counselling support</w:t>
            </w:r>
            <w:r>
              <w:t xml:space="preserve"> when needed</w:t>
            </w:r>
            <w:r w:rsidR="00827FFD">
              <w:t xml:space="preserve">. </w:t>
            </w:r>
            <w:r>
              <w:t xml:space="preserve">Therefore, managers / colleagues should </w:t>
            </w:r>
            <w:r w:rsidR="00827FFD">
              <w:t xml:space="preserve">encourage male employees to seek support </w:t>
            </w:r>
            <w:r>
              <w:t>where they have concerns about their welfare</w:t>
            </w:r>
            <w:r w:rsidR="00827FFD">
              <w:t xml:space="preserve">. </w:t>
            </w:r>
          </w:p>
          <w:p w14:paraId="75ACD185" w14:textId="77777777" w:rsidR="00827FFD" w:rsidRDefault="00827FFD">
            <w:pPr>
              <w:pStyle w:val="TableParagraph"/>
            </w:pPr>
          </w:p>
          <w:p w14:paraId="300F5068" w14:textId="6CFAFF90" w:rsidR="00827FFD" w:rsidRPr="003E4D8F" w:rsidRDefault="00827FFD">
            <w:pPr>
              <w:pStyle w:val="TableParagraph"/>
            </w:pPr>
            <w:r>
              <w:t xml:space="preserve">The need of female employees may go undetected because alcohol and substance misuse is </w:t>
            </w:r>
            <w:r w:rsidR="002E29BD">
              <w:t xml:space="preserve">more often </w:t>
            </w:r>
            <w:r>
              <w:t>seen as a male issue.  However</w:t>
            </w:r>
            <w:r w:rsidR="002E29BD">
              <w:t>,</w:t>
            </w:r>
            <w:r>
              <w:t xml:space="preserve"> data in Scotland is showing that the female deaths relating to alcohol and substance misuse is rising.</w:t>
            </w:r>
          </w:p>
        </w:tc>
      </w:tr>
      <w:tr w:rsidR="009F4AC0" w14:paraId="300F506F" w14:textId="77777777" w:rsidTr="00073F90">
        <w:trPr>
          <w:trHeight w:val="623"/>
        </w:trPr>
        <w:tc>
          <w:tcPr>
            <w:tcW w:w="2694" w:type="dxa"/>
          </w:tcPr>
          <w:p w14:paraId="300F506A" w14:textId="77777777" w:rsidR="009F4AC0" w:rsidRDefault="002132D0">
            <w:pPr>
              <w:pStyle w:val="TableParagraph"/>
              <w:ind w:left="107"/>
              <w:rPr>
                <w:sz w:val="24"/>
              </w:rPr>
            </w:pPr>
            <w:r>
              <w:rPr>
                <w:sz w:val="24"/>
              </w:rPr>
              <w:lastRenderedPageBreak/>
              <w:t>Sexual orientation</w:t>
            </w:r>
          </w:p>
        </w:tc>
        <w:tc>
          <w:tcPr>
            <w:tcW w:w="1418" w:type="dxa"/>
          </w:tcPr>
          <w:p w14:paraId="300F506B" w14:textId="4F53C8D9" w:rsidR="009F4AC0" w:rsidRPr="003E4D8F" w:rsidRDefault="00346554">
            <w:pPr>
              <w:pStyle w:val="TableParagraph"/>
            </w:pPr>
            <w:r>
              <w:t>Yes</w:t>
            </w:r>
          </w:p>
        </w:tc>
        <w:tc>
          <w:tcPr>
            <w:tcW w:w="5103" w:type="dxa"/>
          </w:tcPr>
          <w:p w14:paraId="300F506C" w14:textId="3F7E0BFE" w:rsidR="009F4AC0" w:rsidRPr="0072421C" w:rsidRDefault="00997739" w:rsidP="0072421C">
            <w:pPr>
              <w:widowControl/>
              <w:adjustRightInd w:val="0"/>
              <w:rPr>
                <w:rFonts w:eastAsiaTheme="minorHAnsi"/>
                <w:color w:val="000000"/>
                <w:sz w:val="23"/>
                <w:szCs w:val="23"/>
                <w:lang w:eastAsia="en-US" w:bidi="ar-SA"/>
              </w:rPr>
            </w:pPr>
            <w:r w:rsidRPr="00997739">
              <w:rPr>
                <w:rFonts w:eastAsiaTheme="minorHAnsi"/>
                <w:color w:val="000000"/>
                <w:sz w:val="23"/>
                <w:szCs w:val="23"/>
                <w:lang w:eastAsia="en-US" w:bidi="ar-SA"/>
              </w:rPr>
              <w:t xml:space="preserve">LGBT </w:t>
            </w:r>
            <w:r>
              <w:rPr>
                <w:rFonts w:eastAsiaTheme="minorHAnsi"/>
                <w:color w:val="000000"/>
                <w:sz w:val="23"/>
                <w:szCs w:val="23"/>
                <w:lang w:eastAsia="en-US" w:bidi="ar-SA"/>
              </w:rPr>
              <w:t>employees</w:t>
            </w:r>
            <w:r w:rsidRPr="00997739">
              <w:rPr>
                <w:rFonts w:eastAsiaTheme="minorHAnsi"/>
                <w:color w:val="000000"/>
                <w:sz w:val="23"/>
                <w:szCs w:val="23"/>
                <w:lang w:eastAsia="en-US" w:bidi="ar-SA"/>
              </w:rPr>
              <w:t xml:space="preserve"> may have face</w:t>
            </w:r>
            <w:r w:rsidR="009463B8">
              <w:rPr>
                <w:rFonts w:eastAsiaTheme="minorHAnsi"/>
                <w:color w:val="000000"/>
                <w:sz w:val="23"/>
                <w:szCs w:val="23"/>
                <w:lang w:eastAsia="en-US" w:bidi="ar-SA"/>
              </w:rPr>
              <w:t>d</w:t>
            </w:r>
            <w:r w:rsidRPr="00997739">
              <w:rPr>
                <w:rFonts w:eastAsiaTheme="minorHAnsi"/>
                <w:color w:val="000000"/>
                <w:sz w:val="23"/>
                <w:szCs w:val="23"/>
                <w:lang w:eastAsia="en-US" w:bidi="ar-SA"/>
              </w:rPr>
              <w:t xml:space="preserve"> additional challenges in their lives, such as homophobic or transgender discrimination, with subsequent </w:t>
            </w:r>
            <w:r>
              <w:rPr>
                <w:rFonts w:eastAsiaTheme="minorHAnsi"/>
                <w:color w:val="000000"/>
                <w:sz w:val="23"/>
                <w:szCs w:val="23"/>
                <w:lang w:eastAsia="en-US" w:bidi="ar-SA"/>
              </w:rPr>
              <w:t xml:space="preserve">possible </w:t>
            </w:r>
            <w:r w:rsidRPr="00997739">
              <w:rPr>
                <w:rFonts w:eastAsiaTheme="minorHAnsi"/>
                <w:color w:val="000000"/>
                <w:sz w:val="23"/>
                <w:szCs w:val="23"/>
                <w:lang w:eastAsia="en-US" w:bidi="ar-SA"/>
              </w:rPr>
              <w:t>negative effects on their mental wellbeing</w:t>
            </w:r>
            <w:r>
              <w:rPr>
                <w:rFonts w:eastAsiaTheme="minorHAnsi"/>
                <w:color w:val="000000"/>
                <w:sz w:val="23"/>
                <w:szCs w:val="23"/>
                <w:lang w:eastAsia="en-US" w:bidi="ar-SA"/>
              </w:rPr>
              <w:t xml:space="preserve"> which may then potentially make them more at risk from substance misuse – provision of a consistent and supportive framework is likely to be a positive support for </w:t>
            </w:r>
            <w:r w:rsidR="0072421C">
              <w:rPr>
                <w:rFonts w:eastAsiaTheme="minorHAnsi"/>
                <w:color w:val="000000"/>
                <w:sz w:val="23"/>
                <w:szCs w:val="23"/>
                <w:lang w:eastAsia="en-US" w:bidi="ar-SA"/>
              </w:rPr>
              <w:t>LGBT</w:t>
            </w:r>
            <w:r>
              <w:rPr>
                <w:rFonts w:eastAsiaTheme="minorHAnsi"/>
                <w:color w:val="000000"/>
                <w:sz w:val="23"/>
                <w:szCs w:val="23"/>
                <w:lang w:eastAsia="en-US" w:bidi="ar-SA"/>
              </w:rPr>
              <w:t xml:space="preserve"> employees.</w:t>
            </w:r>
            <w:r w:rsidRPr="00997739">
              <w:rPr>
                <w:rFonts w:eastAsiaTheme="minorHAnsi"/>
                <w:color w:val="000000"/>
                <w:sz w:val="23"/>
                <w:szCs w:val="23"/>
                <w:lang w:eastAsia="en-US" w:bidi="ar-SA"/>
              </w:rPr>
              <w:t xml:space="preserve"> </w:t>
            </w:r>
          </w:p>
        </w:tc>
        <w:tc>
          <w:tcPr>
            <w:tcW w:w="1417" w:type="dxa"/>
          </w:tcPr>
          <w:p w14:paraId="300F506D" w14:textId="21182467" w:rsidR="009F4AC0" w:rsidRPr="003E4D8F" w:rsidRDefault="00827FFD">
            <w:pPr>
              <w:pStyle w:val="TableParagraph"/>
            </w:pPr>
            <w:r>
              <w:t>Yes</w:t>
            </w:r>
          </w:p>
        </w:tc>
        <w:tc>
          <w:tcPr>
            <w:tcW w:w="4105" w:type="dxa"/>
          </w:tcPr>
          <w:p w14:paraId="300F506E" w14:textId="4CE6DC74" w:rsidR="009F4AC0" w:rsidRPr="003E4D8F" w:rsidRDefault="00827FFD">
            <w:pPr>
              <w:pStyle w:val="TableParagraph"/>
            </w:pPr>
            <w:r>
              <w:t xml:space="preserve">LGBT employees may feel stigmatised because of </w:t>
            </w:r>
            <w:r w:rsidR="00AA0015">
              <w:t xml:space="preserve">some of </w:t>
            </w:r>
            <w:r>
              <w:t>the public portrayal of LGBT people in media or entertainment.</w:t>
            </w:r>
          </w:p>
        </w:tc>
      </w:tr>
      <w:tr w:rsidR="009F4AC0" w14:paraId="300F5076" w14:textId="77777777" w:rsidTr="00073F90">
        <w:trPr>
          <w:trHeight w:val="626"/>
        </w:trPr>
        <w:tc>
          <w:tcPr>
            <w:tcW w:w="2694" w:type="dxa"/>
          </w:tcPr>
          <w:p w14:paraId="300F5070" w14:textId="77777777" w:rsidR="009F4AC0" w:rsidRDefault="002132D0">
            <w:pPr>
              <w:pStyle w:val="TableParagraph"/>
              <w:spacing w:before="2" w:line="274" w:lineRule="exact"/>
              <w:ind w:left="107"/>
              <w:rPr>
                <w:sz w:val="24"/>
              </w:rPr>
            </w:pPr>
            <w:r>
              <w:rPr>
                <w:sz w:val="24"/>
              </w:rPr>
              <w:t>Social deprivation*</w:t>
            </w:r>
          </w:p>
          <w:p w14:paraId="300F5071" w14:textId="77777777" w:rsidR="009F4AC0" w:rsidRDefault="002132D0">
            <w:pPr>
              <w:pStyle w:val="TableParagraph"/>
              <w:spacing w:line="228" w:lineRule="exact"/>
              <w:ind w:left="107"/>
              <w:rPr>
                <w:sz w:val="20"/>
              </w:rPr>
            </w:pPr>
            <w:r>
              <w:rPr>
                <w:sz w:val="20"/>
              </w:rPr>
              <w:t>See Note 7</w:t>
            </w:r>
          </w:p>
        </w:tc>
        <w:tc>
          <w:tcPr>
            <w:tcW w:w="1418" w:type="dxa"/>
          </w:tcPr>
          <w:p w14:paraId="300F5072" w14:textId="395F28D2" w:rsidR="009F4AC0" w:rsidRPr="003E4D8F" w:rsidRDefault="00EA414F">
            <w:pPr>
              <w:pStyle w:val="TableParagraph"/>
            </w:pPr>
            <w:r>
              <w:t>Yes</w:t>
            </w:r>
          </w:p>
        </w:tc>
        <w:tc>
          <w:tcPr>
            <w:tcW w:w="5103" w:type="dxa"/>
          </w:tcPr>
          <w:p w14:paraId="300F5073" w14:textId="0965FC22" w:rsidR="009F4AC0" w:rsidRPr="0072421C" w:rsidRDefault="000674E8" w:rsidP="0072421C">
            <w:pPr>
              <w:widowControl/>
              <w:adjustRightInd w:val="0"/>
              <w:rPr>
                <w:rFonts w:eastAsiaTheme="minorHAnsi"/>
                <w:color w:val="000000"/>
                <w:sz w:val="23"/>
                <w:szCs w:val="23"/>
                <w:lang w:eastAsia="en-US" w:bidi="ar-SA"/>
              </w:rPr>
            </w:pPr>
            <w:r>
              <w:rPr>
                <w:rFonts w:eastAsiaTheme="minorHAnsi"/>
                <w:color w:val="000000"/>
                <w:sz w:val="23"/>
                <w:szCs w:val="23"/>
                <w:lang w:eastAsia="en-US" w:bidi="ar-SA"/>
              </w:rPr>
              <w:t xml:space="preserve">Employees </w:t>
            </w:r>
            <w:r w:rsidR="00EA414F">
              <w:rPr>
                <w:rFonts w:eastAsiaTheme="minorHAnsi"/>
                <w:color w:val="000000"/>
                <w:sz w:val="23"/>
                <w:szCs w:val="23"/>
                <w:lang w:eastAsia="en-US" w:bidi="ar-SA"/>
              </w:rPr>
              <w:t>who have experienced social deprivation</w:t>
            </w:r>
            <w:r w:rsidRPr="00997739">
              <w:rPr>
                <w:rFonts w:eastAsiaTheme="minorHAnsi"/>
                <w:color w:val="000000"/>
                <w:sz w:val="23"/>
                <w:szCs w:val="23"/>
                <w:lang w:eastAsia="en-US" w:bidi="ar-SA"/>
              </w:rPr>
              <w:t xml:space="preserve"> may have</w:t>
            </w:r>
            <w:r w:rsidR="00EA414F">
              <w:rPr>
                <w:rFonts w:eastAsiaTheme="minorHAnsi"/>
                <w:color w:val="000000"/>
                <w:sz w:val="23"/>
                <w:szCs w:val="23"/>
                <w:lang w:eastAsia="en-US" w:bidi="ar-SA"/>
              </w:rPr>
              <w:t xml:space="preserve"> </w:t>
            </w:r>
            <w:r w:rsidRPr="00997739">
              <w:rPr>
                <w:rFonts w:eastAsiaTheme="minorHAnsi"/>
                <w:color w:val="000000"/>
                <w:sz w:val="23"/>
                <w:szCs w:val="23"/>
                <w:lang w:eastAsia="en-US" w:bidi="ar-SA"/>
              </w:rPr>
              <w:t>face</w:t>
            </w:r>
            <w:r w:rsidR="009463B8">
              <w:rPr>
                <w:rFonts w:eastAsiaTheme="minorHAnsi"/>
                <w:color w:val="000000"/>
                <w:sz w:val="23"/>
                <w:szCs w:val="23"/>
                <w:lang w:eastAsia="en-US" w:bidi="ar-SA"/>
              </w:rPr>
              <w:t>d</w:t>
            </w:r>
            <w:r w:rsidRPr="00997739">
              <w:rPr>
                <w:rFonts w:eastAsiaTheme="minorHAnsi"/>
                <w:color w:val="000000"/>
                <w:sz w:val="23"/>
                <w:szCs w:val="23"/>
                <w:lang w:eastAsia="en-US" w:bidi="ar-SA"/>
              </w:rPr>
              <w:t xml:space="preserve"> additional challenges in their lives,</w:t>
            </w:r>
            <w:r w:rsidR="00EA414F">
              <w:rPr>
                <w:rFonts w:eastAsiaTheme="minorHAnsi"/>
                <w:color w:val="000000"/>
                <w:sz w:val="23"/>
                <w:szCs w:val="23"/>
                <w:lang w:eastAsia="en-US" w:bidi="ar-SA"/>
              </w:rPr>
              <w:t xml:space="preserve"> </w:t>
            </w:r>
            <w:r w:rsidRPr="00997739">
              <w:rPr>
                <w:rFonts w:eastAsiaTheme="minorHAnsi"/>
                <w:color w:val="000000"/>
                <w:sz w:val="23"/>
                <w:szCs w:val="23"/>
                <w:lang w:eastAsia="en-US" w:bidi="ar-SA"/>
              </w:rPr>
              <w:t xml:space="preserve">with subsequent </w:t>
            </w:r>
            <w:r>
              <w:rPr>
                <w:rFonts w:eastAsiaTheme="minorHAnsi"/>
                <w:color w:val="000000"/>
                <w:sz w:val="23"/>
                <w:szCs w:val="23"/>
                <w:lang w:eastAsia="en-US" w:bidi="ar-SA"/>
              </w:rPr>
              <w:t xml:space="preserve">possible </w:t>
            </w:r>
            <w:r w:rsidRPr="00997739">
              <w:rPr>
                <w:rFonts w:eastAsiaTheme="minorHAnsi"/>
                <w:color w:val="000000"/>
                <w:sz w:val="23"/>
                <w:szCs w:val="23"/>
                <w:lang w:eastAsia="en-US" w:bidi="ar-SA"/>
              </w:rPr>
              <w:t>negative effects on their mental wellbeing</w:t>
            </w:r>
            <w:r>
              <w:rPr>
                <w:rFonts w:eastAsiaTheme="minorHAnsi"/>
                <w:color w:val="000000"/>
                <w:sz w:val="23"/>
                <w:szCs w:val="23"/>
                <w:lang w:eastAsia="en-US" w:bidi="ar-SA"/>
              </w:rPr>
              <w:t xml:space="preserve"> which may then potentially make them more at risk from substance misuse – provision of a consistent and supportive framework is likely to be a positive support for all employees</w:t>
            </w:r>
            <w:r w:rsidR="0072421C">
              <w:rPr>
                <w:rFonts w:eastAsiaTheme="minorHAnsi"/>
                <w:color w:val="000000"/>
                <w:sz w:val="23"/>
                <w:szCs w:val="23"/>
                <w:lang w:eastAsia="en-US" w:bidi="ar-SA"/>
              </w:rPr>
              <w:t xml:space="preserve"> who have experienced social deprivation</w:t>
            </w:r>
            <w:r>
              <w:rPr>
                <w:rFonts w:eastAsiaTheme="minorHAnsi"/>
                <w:color w:val="000000"/>
                <w:sz w:val="23"/>
                <w:szCs w:val="23"/>
                <w:lang w:eastAsia="en-US" w:bidi="ar-SA"/>
              </w:rPr>
              <w:t>.</w:t>
            </w:r>
            <w:r w:rsidRPr="00997739">
              <w:rPr>
                <w:rFonts w:eastAsiaTheme="minorHAnsi"/>
                <w:color w:val="000000"/>
                <w:sz w:val="23"/>
                <w:szCs w:val="23"/>
                <w:lang w:eastAsia="en-US" w:bidi="ar-SA"/>
              </w:rPr>
              <w:t xml:space="preserve"> </w:t>
            </w:r>
          </w:p>
        </w:tc>
        <w:tc>
          <w:tcPr>
            <w:tcW w:w="1417" w:type="dxa"/>
          </w:tcPr>
          <w:p w14:paraId="300F5074" w14:textId="674E1D79" w:rsidR="009F4AC0" w:rsidRPr="003E4D8F" w:rsidRDefault="00827FFD">
            <w:pPr>
              <w:pStyle w:val="TableParagraph"/>
            </w:pPr>
            <w:r>
              <w:t>Yes</w:t>
            </w:r>
          </w:p>
        </w:tc>
        <w:tc>
          <w:tcPr>
            <w:tcW w:w="4105" w:type="dxa"/>
          </w:tcPr>
          <w:p w14:paraId="300F5075" w14:textId="3ACDAB03" w:rsidR="009F4AC0" w:rsidRPr="003E4D8F" w:rsidRDefault="00827FFD">
            <w:pPr>
              <w:pStyle w:val="TableParagraph"/>
            </w:pPr>
            <w:r>
              <w:t>Some employees may feel pressurised to misuse alcohol or substance</w:t>
            </w:r>
            <w:r w:rsidR="00AA0015">
              <w:t>s</w:t>
            </w:r>
            <w:r>
              <w:t xml:space="preserve"> from their peers outside of work.  Additional support may be required to help these employees to manage those pressures.</w:t>
            </w:r>
          </w:p>
        </w:tc>
      </w:tr>
      <w:tr w:rsidR="009F4AC0" w14:paraId="300F507C" w14:textId="77777777" w:rsidTr="00073F90">
        <w:trPr>
          <w:trHeight w:val="623"/>
        </w:trPr>
        <w:tc>
          <w:tcPr>
            <w:tcW w:w="2694" w:type="dxa"/>
          </w:tcPr>
          <w:p w14:paraId="300F5077" w14:textId="77777777" w:rsidR="009F4AC0" w:rsidRDefault="002132D0">
            <w:pPr>
              <w:pStyle w:val="TableParagraph"/>
              <w:ind w:left="107" w:right="629"/>
              <w:rPr>
                <w:sz w:val="24"/>
              </w:rPr>
            </w:pPr>
            <w:r>
              <w:rPr>
                <w:sz w:val="24"/>
              </w:rPr>
              <w:t>Care Experienced people*</w:t>
            </w:r>
          </w:p>
        </w:tc>
        <w:tc>
          <w:tcPr>
            <w:tcW w:w="1418" w:type="dxa"/>
          </w:tcPr>
          <w:p w14:paraId="300F5078" w14:textId="3DB03598" w:rsidR="009F4AC0" w:rsidRPr="003E4D8F" w:rsidRDefault="00EA414F">
            <w:pPr>
              <w:pStyle w:val="TableParagraph"/>
            </w:pPr>
            <w:r>
              <w:t>Yes</w:t>
            </w:r>
          </w:p>
        </w:tc>
        <w:tc>
          <w:tcPr>
            <w:tcW w:w="5103" w:type="dxa"/>
          </w:tcPr>
          <w:p w14:paraId="300F5079" w14:textId="3D719CDC" w:rsidR="009F4AC0" w:rsidRPr="0072421C" w:rsidRDefault="00EA414F" w:rsidP="0072421C">
            <w:pPr>
              <w:widowControl/>
              <w:adjustRightInd w:val="0"/>
              <w:rPr>
                <w:rFonts w:eastAsiaTheme="minorHAnsi"/>
                <w:color w:val="000000"/>
                <w:sz w:val="23"/>
                <w:szCs w:val="23"/>
                <w:lang w:eastAsia="en-US" w:bidi="ar-SA"/>
              </w:rPr>
            </w:pPr>
            <w:r>
              <w:rPr>
                <w:rFonts w:eastAsiaTheme="minorHAnsi"/>
                <w:color w:val="000000"/>
                <w:sz w:val="23"/>
                <w:szCs w:val="23"/>
                <w:lang w:eastAsia="en-US" w:bidi="ar-SA"/>
              </w:rPr>
              <w:t xml:space="preserve">Employees who are care experienced </w:t>
            </w:r>
            <w:r w:rsidRPr="00997739">
              <w:rPr>
                <w:rFonts w:eastAsiaTheme="minorHAnsi"/>
                <w:color w:val="000000"/>
                <w:sz w:val="23"/>
                <w:szCs w:val="23"/>
                <w:lang w:eastAsia="en-US" w:bidi="ar-SA"/>
              </w:rPr>
              <w:t>may have</w:t>
            </w:r>
            <w:r w:rsidR="009463B8">
              <w:rPr>
                <w:rFonts w:eastAsiaTheme="minorHAnsi"/>
                <w:color w:val="000000"/>
                <w:sz w:val="23"/>
                <w:szCs w:val="23"/>
                <w:lang w:eastAsia="en-US" w:bidi="ar-SA"/>
              </w:rPr>
              <w:t xml:space="preserve"> </w:t>
            </w:r>
            <w:r w:rsidRPr="00997739">
              <w:rPr>
                <w:rFonts w:eastAsiaTheme="minorHAnsi"/>
                <w:color w:val="000000"/>
                <w:sz w:val="23"/>
                <w:szCs w:val="23"/>
                <w:lang w:eastAsia="en-US" w:bidi="ar-SA"/>
              </w:rPr>
              <w:t>face</w:t>
            </w:r>
            <w:r w:rsidR="009463B8">
              <w:rPr>
                <w:rFonts w:eastAsiaTheme="minorHAnsi"/>
                <w:color w:val="000000"/>
                <w:sz w:val="23"/>
                <w:szCs w:val="23"/>
                <w:lang w:eastAsia="en-US" w:bidi="ar-SA"/>
              </w:rPr>
              <w:t>d</w:t>
            </w:r>
            <w:r w:rsidRPr="00997739">
              <w:rPr>
                <w:rFonts w:eastAsiaTheme="minorHAnsi"/>
                <w:color w:val="000000"/>
                <w:sz w:val="23"/>
                <w:szCs w:val="23"/>
                <w:lang w:eastAsia="en-US" w:bidi="ar-SA"/>
              </w:rPr>
              <w:t xml:space="preserve"> additional challenges in their live</w:t>
            </w:r>
            <w:r>
              <w:rPr>
                <w:rFonts w:eastAsiaTheme="minorHAnsi"/>
                <w:color w:val="000000"/>
                <w:sz w:val="23"/>
                <w:szCs w:val="23"/>
                <w:lang w:eastAsia="en-US" w:bidi="ar-SA"/>
              </w:rPr>
              <w:t xml:space="preserve">s, </w:t>
            </w:r>
            <w:r w:rsidRPr="00997739">
              <w:rPr>
                <w:rFonts w:eastAsiaTheme="minorHAnsi"/>
                <w:color w:val="000000"/>
                <w:sz w:val="23"/>
                <w:szCs w:val="23"/>
                <w:lang w:eastAsia="en-US" w:bidi="ar-SA"/>
              </w:rPr>
              <w:t xml:space="preserve">with subsequent </w:t>
            </w:r>
            <w:r>
              <w:rPr>
                <w:rFonts w:eastAsiaTheme="minorHAnsi"/>
                <w:color w:val="000000"/>
                <w:sz w:val="23"/>
                <w:szCs w:val="23"/>
                <w:lang w:eastAsia="en-US" w:bidi="ar-SA"/>
              </w:rPr>
              <w:t xml:space="preserve">possible </w:t>
            </w:r>
            <w:r w:rsidRPr="00997739">
              <w:rPr>
                <w:rFonts w:eastAsiaTheme="minorHAnsi"/>
                <w:color w:val="000000"/>
                <w:sz w:val="23"/>
                <w:szCs w:val="23"/>
                <w:lang w:eastAsia="en-US" w:bidi="ar-SA"/>
              </w:rPr>
              <w:t>negative effects on their mental wellbeing</w:t>
            </w:r>
            <w:r>
              <w:rPr>
                <w:rFonts w:eastAsiaTheme="minorHAnsi"/>
                <w:color w:val="000000"/>
                <w:sz w:val="23"/>
                <w:szCs w:val="23"/>
                <w:lang w:eastAsia="en-US" w:bidi="ar-SA"/>
              </w:rPr>
              <w:t xml:space="preserve"> which may then potentially make them more at risk from substance misuse – provision of a consistent and supportive framework is likely to be a positive support for </w:t>
            </w:r>
            <w:r w:rsidR="0072421C">
              <w:rPr>
                <w:rFonts w:eastAsiaTheme="minorHAnsi"/>
                <w:color w:val="000000"/>
                <w:sz w:val="23"/>
                <w:szCs w:val="23"/>
                <w:lang w:eastAsia="en-US" w:bidi="ar-SA"/>
              </w:rPr>
              <w:t>care experienced</w:t>
            </w:r>
            <w:r>
              <w:rPr>
                <w:rFonts w:eastAsiaTheme="minorHAnsi"/>
                <w:color w:val="000000"/>
                <w:sz w:val="23"/>
                <w:szCs w:val="23"/>
                <w:lang w:eastAsia="en-US" w:bidi="ar-SA"/>
              </w:rPr>
              <w:t xml:space="preserve"> employees.</w:t>
            </w:r>
            <w:r w:rsidRPr="00997739">
              <w:rPr>
                <w:rFonts w:eastAsiaTheme="minorHAnsi"/>
                <w:color w:val="000000"/>
                <w:sz w:val="23"/>
                <w:szCs w:val="23"/>
                <w:lang w:eastAsia="en-US" w:bidi="ar-SA"/>
              </w:rPr>
              <w:t xml:space="preserve"> </w:t>
            </w:r>
          </w:p>
        </w:tc>
        <w:tc>
          <w:tcPr>
            <w:tcW w:w="1417" w:type="dxa"/>
          </w:tcPr>
          <w:p w14:paraId="300F507A" w14:textId="7CB76148" w:rsidR="009F4AC0" w:rsidRPr="003E4D8F" w:rsidRDefault="00827FFD">
            <w:pPr>
              <w:pStyle w:val="TableParagraph"/>
            </w:pPr>
            <w:r>
              <w:t>Yes</w:t>
            </w:r>
          </w:p>
        </w:tc>
        <w:tc>
          <w:tcPr>
            <w:tcW w:w="4105" w:type="dxa"/>
          </w:tcPr>
          <w:p w14:paraId="300F507B" w14:textId="207334D5" w:rsidR="009F4AC0" w:rsidRPr="003E4D8F" w:rsidRDefault="00827FFD">
            <w:pPr>
              <w:pStyle w:val="TableParagraph"/>
            </w:pPr>
            <w:r>
              <w:t>Similar to social deprivation, s</w:t>
            </w:r>
            <w:r w:rsidRPr="00827FFD">
              <w:t>ome employees may feel pressurised to misuse alcohol or substance from their peers outside of work.  Additional support may be required to help these employees to manage those pressures.</w:t>
            </w:r>
          </w:p>
        </w:tc>
      </w:tr>
      <w:tr w:rsidR="009F4AC0" w14:paraId="300F5082" w14:textId="77777777" w:rsidTr="00073F90">
        <w:trPr>
          <w:trHeight w:val="623"/>
        </w:trPr>
        <w:tc>
          <w:tcPr>
            <w:tcW w:w="2694" w:type="dxa"/>
          </w:tcPr>
          <w:p w14:paraId="300F507D" w14:textId="77777777" w:rsidR="009F4AC0" w:rsidRDefault="002132D0">
            <w:pPr>
              <w:pStyle w:val="TableParagraph"/>
              <w:ind w:left="107" w:right="589"/>
              <w:rPr>
                <w:sz w:val="24"/>
              </w:rPr>
            </w:pPr>
            <w:r>
              <w:rPr>
                <w:sz w:val="24"/>
              </w:rPr>
              <w:t>People with caring responsibilities*</w:t>
            </w:r>
          </w:p>
        </w:tc>
        <w:tc>
          <w:tcPr>
            <w:tcW w:w="1418" w:type="dxa"/>
          </w:tcPr>
          <w:p w14:paraId="300F507E" w14:textId="221BFB13" w:rsidR="009F4AC0" w:rsidRPr="003E4D8F" w:rsidRDefault="00321E3A">
            <w:pPr>
              <w:pStyle w:val="TableParagraph"/>
            </w:pPr>
            <w:r>
              <w:t>Yes</w:t>
            </w:r>
          </w:p>
        </w:tc>
        <w:tc>
          <w:tcPr>
            <w:tcW w:w="5103" w:type="dxa"/>
          </w:tcPr>
          <w:p w14:paraId="300F507F" w14:textId="6A091A2F" w:rsidR="009F4AC0" w:rsidRPr="003E4D8F" w:rsidRDefault="00321E3A">
            <w:pPr>
              <w:pStyle w:val="TableParagraph"/>
            </w:pPr>
            <w:r>
              <w:t xml:space="preserve">Employees </w:t>
            </w:r>
            <w:r w:rsidR="00AA0015">
              <w:t>who have caring responsibilities may end up feeling over whelmed</w:t>
            </w:r>
            <w:r w:rsidR="00FD3403">
              <w:t xml:space="preserve"> by them</w:t>
            </w:r>
            <w:r w:rsidR="00AA0015">
              <w:t>.</w:t>
            </w:r>
            <w:r>
              <w:t xml:space="preserve">  </w:t>
            </w:r>
            <w:r w:rsidR="00AA0015">
              <w:t>Support provided through this policy and potential e</w:t>
            </w:r>
            <w:r>
              <w:t xml:space="preserve">arly intervention will be more helpful for employees with caring </w:t>
            </w:r>
            <w:r w:rsidR="00AA0015">
              <w:t>responsibilities.</w:t>
            </w:r>
          </w:p>
        </w:tc>
        <w:tc>
          <w:tcPr>
            <w:tcW w:w="1417" w:type="dxa"/>
          </w:tcPr>
          <w:p w14:paraId="300F5080" w14:textId="781FFAFB" w:rsidR="009F4AC0" w:rsidRPr="003E4D8F" w:rsidRDefault="00321E3A">
            <w:pPr>
              <w:pStyle w:val="TableParagraph"/>
            </w:pPr>
            <w:r>
              <w:t>Yes</w:t>
            </w:r>
          </w:p>
        </w:tc>
        <w:tc>
          <w:tcPr>
            <w:tcW w:w="4105" w:type="dxa"/>
          </w:tcPr>
          <w:p w14:paraId="300F5081" w14:textId="2C7E2044" w:rsidR="009F4AC0" w:rsidRPr="003E4D8F" w:rsidRDefault="00321E3A">
            <w:pPr>
              <w:pStyle w:val="TableParagraph"/>
            </w:pPr>
            <w:r>
              <w:t>Employees with caring responsibilities may feel they are failing those who they care for</w:t>
            </w:r>
            <w:r w:rsidR="00AA0015">
              <w:t xml:space="preserve"> if they are misusing alcohol/substances</w:t>
            </w:r>
            <w:r w:rsidR="00FD3403">
              <w:t xml:space="preserve"> and hence may be reluctant to seek the help they need</w:t>
            </w:r>
            <w:r>
              <w:t xml:space="preserve">.  </w:t>
            </w:r>
          </w:p>
        </w:tc>
      </w:tr>
    </w:tbl>
    <w:p w14:paraId="300F5083" w14:textId="77777777" w:rsidR="009F4AC0" w:rsidRDefault="009F4AC0">
      <w:pPr>
        <w:rPr>
          <w:rFonts w:ascii="Times New Roman"/>
        </w:rPr>
        <w:sectPr w:rsidR="009F4AC0">
          <w:pgSz w:w="16840" w:h="11910" w:orient="landscape"/>
          <w:pgMar w:top="1100" w:right="680" w:bottom="800" w:left="1020" w:header="0" w:footer="608" w:gutter="0"/>
          <w:cols w:space="720"/>
        </w:sectPr>
      </w:pPr>
    </w:p>
    <w:p w14:paraId="300F5084" w14:textId="77777777" w:rsidR="009F4AC0" w:rsidRDefault="002132D0">
      <w:pPr>
        <w:spacing w:before="80"/>
        <w:ind w:left="112"/>
        <w:rPr>
          <w:b/>
          <w:sz w:val="24"/>
        </w:rPr>
      </w:pPr>
      <w:r>
        <w:rPr>
          <w:b/>
          <w:sz w:val="24"/>
        </w:rPr>
        <w:lastRenderedPageBreak/>
        <w:t>Step 3 – Acting on the results of the assessment.</w:t>
      </w:r>
    </w:p>
    <w:p w14:paraId="300F5085" w14:textId="77777777" w:rsidR="009F4AC0" w:rsidRDefault="009F4AC0">
      <w:pPr>
        <w:rPr>
          <w:b/>
          <w:sz w:val="20"/>
        </w:rPr>
      </w:pPr>
    </w:p>
    <w:p w14:paraId="300F5086" w14:textId="77777777" w:rsidR="009F4AC0" w:rsidRDefault="009F4AC0">
      <w:pPr>
        <w:spacing w:before="4" w:after="1"/>
        <w:rPr>
          <w:b/>
          <w:sz w:val="13"/>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4"/>
        <w:gridCol w:w="10569"/>
      </w:tblGrid>
      <w:tr w:rsidR="009F4AC0" w14:paraId="300F508A" w14:textId="77777777" w:rsidTr="0002370D">
        <w:trPr>
          <w:trHeight w:val="1689"/>
        </w:trPr>
        <w:tc>
          <w:tcPr>
            <w:tcW w:w="3994" w:type="dxa"/>
            <w:shd w:val="clear" w:color="auto" w:fill="FCE9D9"/>
          </w:tcPr>
          <w:p w14:paraId="300F5087" w14:textId="77777777" w:rsidR="009F4AC0" w:rsidRDefault="002132D0">
            <w:pPr>
              <w:pStyle w:val="TableParagraph"/>
              <w:spacing w:before="41"/>
              <w:ind w:left="167" w:right="156" w:firstLine="2"/>
              <w:jc w:val="center"/>
              <w:rPr>
                <w:sz w:val="24"/>
              </w:rPr>
            </w:pPr>
            <w:r>
              <w:rPr>
                <w:sz w:val="24"/>
              </w:rPr>
              <w:t>What actions can be taken or amendments made to policy to reduce the negative impact?</w:t>
            </w:r>
          </w:p>
          <w:p w14:paraId="300F5088" w14:textId="77777777" w:rsidR="009F4AC0" w:rsidRDefault="002132D0">
            <w:pPr>
              <w:pStyle w:val="TableParagraph"/>
              <w:spacing w:before="38" w:line="211" w:lineRule="exact"/>
              <w:ind w:left="201" w:right="188"/>
              <w:jc w:val="center"/>
              <w:rPr>
                <w:sz w:val="20"/>
              </w:rPr>
            </w:pPr>
            <w:r>
              <w:rPr>
                <w:sz w:val="20"/>
              </w:rPr>
              <w:t>See note 8</w:t>
            </w:r>
          </w:p>
        </w:tc>
        <w:tc>
          <w:tcPr>
            <w:tcW w:w="10569" w:type="dxa"/>
          </w:tcPr>
          <w:p w14:paraId="212AD57A" w14:textId="5699040E" w:rsidR="009F4AC0" w:rsidRPr="004F28D1" w:rsidRDefault="004F28D1" w:rsidP="006A73B1">
            <w:pPr>
              <w:pStyle w:val="TableParagraph"/>
              <w:numPr>
                <w:ilvl w:val="0"/>
                <w:numId w:val="4"/>
              </w:numPr>
              <w:rPr>
                <w:rFonts w:ascii="Times New Roman"/>
              </w:rPr>
            </w:pPr>
            <w:r>
              <w:t xml:space="preserve">(Disability) </w:t>
            </w:r>
            <w:r w:rsidR="006A73B1">
              <w:t xml:space="preserve">Ensure employees with a disability are given </w:t>
            </w:r>
            <w:r>
              <w:t xml:space="preserve">the </w:t>
            </w:r>
            <w:r w:rsidR="006A73B1">
              <w:t xml:space="preserve">opportunity to </w:t>
            </w:r>
            <w:r>
              <w:t>put forward any possible mitigating circumstances which may have given rise to the concern of possible substance misuse and an opportunity to outline any possible side effects of any medication they are currently taking</w:t>
            </w:r>
            <w:r w:rsidR="00264509">
              <w:t xml:space="preserve"> – Occupational Health advice is likely to/may be required</w:t>
            </w:r>
            <w:r>
              <w:t>. This opportunity should be given to all employees as it may apply to anyone.</w:t>
            </w:r>
          </w:p>
          <w:p w14:paraId="300F5089" w14:textId="44C7EBA2" w:rsidR="004F28D1" w:rsidRPr="0002370D" w:rsidRDefault="004F28D1" w:rsidP="0002370D">
            <w:pPr>
              <w:pStyle w:val="TableParagraph"/>
              <w:numPr>
                <w:ilvl w:val="0"/>
                <w:numId w:val="4"/>
              </w:numPr>
              <w:rPr>
                <w:rFonts w:ascii="Times New Roman"/>
              </w:rPr>
            </w:pPr>
            <w:r>
              <w:rPr>
                <w:rFonts w:ascii="Times New Roman"/>
              </w:rPr>
              <w:t>(</w:t>
            </w:r>
            <w:r>
              <w:t xml:space="preserve">Religion or belief) </w:t>
            </w:r>
            <w:r w:rsidR="00171A8B">
              <w:t>raise any concerns/suspicions about possible substance misuse in a private environment and in a supportive manner, with evidence given as to what is causing your concern(s).</w:t>
            </w:r>
            <w:r w:rsidR="0002370D">
              <w:t xml:space="preserve"> Although, this should be approach taken with all employees.</w:t>
            </w:r>
          </w:p>
        </w:tc>
      </w:tr>
      <w:tr w:rsidR="009F4AC0" w14:paraId="300F508D" w14:textId="77777777" w:rsidTr="0002370D">
        <w:trPr>
          <w:trHeight w:val="869"/>
        </w:trPr>
        <w:tc>
          <w:tcPr>
            <w:tcW w:w="3994" w:type="dxa"/>
            <w:shd w:val="clear" w:color="auto" w:fill="FCE9D9"/>
          </w:tcPr>
          <w:p w14:paraId="300F508B" w14:textId="77777777" w:rsidR="009F4AC0" w:rsidRDefault="002132D0">
            <w:pPr>
              <w:pStyle w:val="TableParagraph"/>
              <w:spacing w:before="41" w:line="270" w:lineRule="atLeast"/>
              <w:ind w:left="254" w:right="243" w:firstLine="4"/>
              <w:jc w:val="center"/>
              <w:rPr>
                <w:sz w:val="24"/>
              </w:rPr>
            </w:pPr>
            <w:r>
              <w:rPr>
                <w:sz w:val="24"/>
              </w:rPr>
              <w:t>Is there a need to address any gaps in evidence?</w:t>
            </w:r>
          </w:p>
        </w:tc>
        <w:tc>
          <w:tcPr>
            <w:tcW w:w="10569" w:type="dxa"/>
          </w:tcPr>
          <w:p w14:paraId="3CF84E74" w14:textId="77777777" w:rsidR="009F4AC0" w:rsidRPr="004F28D1" w:rsidRDefault="004F28D1" w:rsidP="004F28D1">
            <w:pPr>
              <w:pStyle w:val="TableParagraph"/>
              <w:numPr>
                <w:ilvl w:val="0"/>
                <w:numId w:val="9"/>
              </w:numPr>
              <w:rPr>
                <w:rFonts w:ascii="Times New Roman"/>
              </w:rPr>
            </w:pPr>
            <w:r>
              <w:t>Going forward HR can monitor the protected characteristics of those employees who participate in this policy/procedure and review and identify if particular groups are disproportionately being referred/self-referred to this policy/procedure.</w:t>
            </w:r>
          </w:p>
          <w:p w14:paraId="300F508C" w14:textId="69D86DE3" w:rsidR="004F28D1" w:rsidRDefault="004F28D1" w:rsidP="004F28D1">
            <w:pPr>
              <w:pStyle w:val="TableParagraph"/>
              <w:numPr>
                <w:ilvl w:val="0"/>
                <w:numId w:val="9"/>
              </w:numPr>
              <w:rPr>
                <w:rFonts w:ascii="Times New Roman"/>
              </w:rPr>
            </w:pPr>
            <w:r>
              <w:t>Regular requests for general feedback on the implementation of this policy/procedure from the Unions at local JNC meetings</w:t>
            </w:r>
          </w:p>
        </w:tc>
      </w:tr>
      <w:tr w:rsidR="009F4AC0" w14:paraId="300F5090" w14:textId="77777777" w:rsidTr="0002370D">
        <w:trPr>
          <w:trHeight w:val="851"/>
        </w:trPr>
        <w:tc>
          <w:tcPr>
            <w:tcW w:w="3994" w:type="dxa"/>
            <w:shd w:val="clear" w:color="auto" w:fill="FCE9D9"/>
          </w:tcPr>
          <w:p w14:paraId="300F508E" w14:textId="77777777" w:rsidR="009F4AC0" w:rsidRDefault="002132D0">
            <w:pPr>
              <w:pStyle w:val="TableParagraph"/>
              <w:ind w:left="175" w:right="161" w:hanging="2"/>
              <w:jc w:val="center"/>
              <w:rPr>
                <w:sz w:val="24"/>
              </w:rPr>
            </w:pPr>
            <w:r>
              <w:rPr>
                <w:sz w:val="24"/>
              </w:rPr>
              <w:t>How will equality be advanced/ good relations be fostered?</w:t>
            </w:r>
          </w:p>
        </w:tc>
        <w:tc>
          <w:tcPr>
            <w:tcW w:w="10569" w:type="dxa"/>
          </w:tcPr>
          <w:p w14:paraId="300F508F" w14:textId="6CCCB215" w:rsidR="009F4AC0" w:rsidRPr="004F28D1" w:rsidRDefault="004F28D1" w:rsidP="004F28D1">
            <w:pPr>
              <w:pStyle w:val="TableParagraph"/>
              <w:numPr>
                <w:ilvl w:val="0"/>
                <w:numId w:val="9"/>
              </w:numPr>
            </w:pPr>
            <w:r w:rsidRPr="004F28D1">
              <w:t xml:space="preserve">This updated policy and procedure </w:t>
            </w:r>
            <w:r>
              <w:t>enables and supports employees to overcome their substance misuse problem and sees them continue in their role at the College.</w:t>
            </w:r>
          </w:p>
        </w:tc>
      </w:tr>
      <w:tr w:rsidR="009F4AC0" w14:paraId="300F5093" w14:textId="77777777" w:rsidTr="0002370D">
        <w:trPr>
          <w:trHeight w:val="849"/>
        </w:trPr>
        <w:tc>
          <w:tcPr>
            <w:tcW w:w="3994" w:type="dxa"/>
            <w:shd w:val="clear" w:color="auto" w:fill="FCE9D9"/>
          </w:tcPr>
          <w:p w14:paraId="300F5091" w14:textId="77777777" w:rsidR="009F4AC0" w:rsidRDefault="002132D0">
            <w:pPr>
              <w:pStyle w:val="TableParagraph"/>
              <w:ind w:left="201" w:right="189"/>
              <w:jc w:val="center"/>
              <w:rPr>
                <w:sz w:val="24"/>
              </w:rPr>
            </w:pPr>
            <w:r>
              <w:rPr>
                <w:sz w:val="24"/>
              </w:rPr>
              <w:t>Who has been involved in carrying out this assessment?</w:t>
            </w:r>
          </w:p>
        </w:tc>
        <w:tc>
          <w:tcPr>
            <w:tcW w:w="10569" w:type="dxa"/>
          </w:tcPr>
          <w:p w14:paraId="300F5092" w14:textId="17D7756C" w:rsidR="009F4AC0" w:rsidRPr="004F28D1" w:rsidRDefault="002132D0" w:rsidP="004F28D1">
            <w:pPr>
              <w:pStyle w:val="TableParagraph"/>
              <w:numPr>
                <w:ilvl w:val="0"/>
                <w:numId w:val="9"/>
              </w:numPr>
            </w:pPr>
            <w:r>
              <w:t>I</w:t>
            </w:r>
            <w:r w:rsidR="004F28D1">
              <w:t>nput was requested from the joint Management &amp; Union group – feedback was taken and appropriate adjustments made to EIA.</w:t>
            </w:r>
          </w:p>
        </w:tc>
      </w:tr>
      <w:tr w:rsidR="009F4AC0" w14:paraId="300F5097" w14:textId="77777777" w:rsidTr="0002370D">
        <w:trPr>
          <w:trHeight w:val="879"/>
        </w:trPr>
        <w:tc>
          <w:tcPr>
            <w:tcW w:w="3994" w:type="dxa"/>
            <w:shd w:val="clear" w:color="auto" w:fill="FCE9D9"/>
          </w:tcPr>
          <w:p w14:paraId="300F5094" w14:textId="77777777" w:rsidR="009F4AC0" w:rsidRDefault="002132D0">
            <w:pPr>
              <w:pStyle w:val="TableParagraph"/>
              <w:spacing w:before="41"/>
              <w:ind w:left="242" w:right="226" w:firstLine="1"/>
              <w:jc w:val="center"/>
              <w:rPr>
                <w:sz w:val="24"/>
              </w:rPr>
            </w:pPr>
            <w:r>
              <w:rPr>
                <w:sz w:val="24"/>
              </w:rPr>
              <w:t>If you cannot fully review the impact now, what else must</w:t>
            </w:r>
          </w:p>
          <w:p w14:paraId="300F5095" w14:textId="77777777" w:rsidR="009F4AC0" w:rsidRDefault="002132D0">
            <w:pPr>
              <w:pStyle w:val="TableParagraph"/>
              <w:spacing w:line="270" w:lineRule="atLeast"/>
              <w:ind w:left="201" w:right="187"/>
              <w:jc w:val="center"/>
              <w:rPr>
                <w:sz w:val="24"/>
              </w:rPr>
            </w:pPr>
            <w:r>
              <w:rPr>
                <w:sz w:val="24"/>
              </w:rPr>
              <w:t>be done, by/with whom and why?</w:t>
            </w:r>
          </w:p>
        </w:tc>
        <w:tc>
          <w:tcPr>
            <w:tcW w:w="10569" w:type="dxa"/>
          </w:tcPr>
          <w:p w14:paraId="300F5096" w14:textId="1E01EE9E" w:rsidR="009F4AC0" w:rsidRPr="0002370D" w:rsidRDefault="0002370D">
            <w:pPr>
              <w:pStyle w:val="TableParagraph"/>
            </w:pPr>
            <w:r>
              <w:rPr>
                <w:rFonts w:ascii="Times New Roman"/>
              </w:rPr>
              <w:t xml:space="preserve"> </w:t>
            </w:r>
            <w:r w:rsidRPr="0002370D">
              <w:t>See above comments</w:t>
            </w:r>
          </w:p>
        </w:tc>
      </w:tr>
    </w:tbl>
    <w:p w14:paraId="300F5099" w14:textId="77777777" w:rsidR="009F4AC0" w:rsidRDefault="009F4AC0">
      <w:pPr>
        <w:spacing w:before="1"/>
        <w:rPr>
          <w:b/>
          <w:sz w:val="2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0"/>
        <w:gridCol w:w="11028"/>
        <w:gridCol w:w="568"/>
      </w:tblGrid>
      <w:tr w:rsidR="009F4AC0" w14:paraId="300F50A0" w14:textId="77777777" w:rsidTr="0002370D">
        <w:trPr>
          <w:trHeight w:val="671"/>
        </w:trPr>
        <w:tc>
          <w:tcPr>
            <w:tcW w:w="2860" w:type="dxa"/>
            <w:vMerge w:val="restart"/>
            <w:shd w:val="clear" w:color="auto" w:fill="FCE9D9"/>
          </w:tcPr>
          <w:p w14:paraId="300F509A" w14:textId="77777777" w:rsidR="009F4AC0" w:rsidRDefault="002132D0">
            <w:pPr>
              <w:pStyle w:val="TableParagraph"/>
              <w:spacing w:before="120"/>
              <w:ind w:left="110" w:right="544"/>
              <w:rPr>
                <w:b/>
                <w:sz w:val="24"/>
              </w:rPr>
            </w:pPr>
            <w:r>
              <w:rPr>
                <w:b/>
                <w:sz w:val="24"/>
              </w:rPr>
              <w:t>Recommended decision:</w:t>
            </w:r>
          </w:p>
          <w:p w14:paraId="300F509B" w14:textId="77777777" w:rsidR="009F4AC0" w:rsidRDefault="009F4AC0">
            <w:pPr>
              <w:pStyle w:val="TableParagraph"/>
              <w:rPr>
                <w:b/>
                <w:sz w:val="24"/>
              </w:rPr>
            </w:pPr>
          </w:p>
          <w:p w14:paraId="300F509C" w14:textId="77777777" w:rsidR="009F4AC0" w:rsidRDefault="002132D0">
            <w:pPr>
              <w:pStyle w:val="TableParagraph"/>
              <w:ind w:left="110" w:right="250"/>
              <w:rPr>
                <w:sz w:val="24"/>
              </w:rPr>
            </w:pPr>
            <w:r>
              <w:rPr>
                <w:sz w:val="24"/>
              </w:rPr>
              <w:t>(place an x against relevant outcome)</w:t>
            </w:r>
          </w:p>
          <w:p w14:paraId="300F509D" w14:textId="77777777" w:rsidR="009F4AC0" w:rsidRDefault="002132D0">
            <w:pPr>
              <w:pStyle w:val="TableParagraph"/>
              <w:spacing w:before="120"/>
              <w:ind w:left="110"/>
              <w:rPr>
                <w:sz w:val="20"/>
              </w:rPr>
            </w:pPr>
            <w:r>
              <w:rPr>
                <w:sz w:val="20"/>
              </w:rPr>
              <w:t>See note 9</w:t>
            </w:r>
          </w:p>
        </w:tc>
        <w:tc>
          <w:tcPr>
            <w:tcW w:w="11028" w:type="dxa"/>
          </w:tcPr>
          <w:p w14:paraId="300F509E" w14:textId="77777777" w:rsidR="009F4AC0" w:rsidRDefault="002132D0">
            <w:pPr>
              <w:pStyle w:val="TableParagraph"/>
              <w:spacing w:before="120" w:line="270" w:lineRule="atLeast"/>
              <w:ind w:left="1359" w:right="123" w:hanging="1249"/>
              <w:rPr>
                <w:sz w:val="24"/>
              </w:rPr>
            </w:pPr>
            <w:r>
              <w:rPr>
                <w:sz w:val="24"/>
              </w:rPr>
              <w:t>Outcome 1 - Proceed – no potential identified for discrimination or adverse impact, and all opportunities to promote equality have been taken</w:t>
            </w:r>
          </w:p>
        </w:tc>
        <w:tc>
          <w:tcPr>
            <w:tcW w:w="568" w:type="dxa"/>
          </w:tcPr>
          <w:p w14:paraId="300F509F" w14:textId="77777777" w:rsidR="009F4AC0" w:rsidRDefault="009F4AC0">
            <w:pPr>
              <w:pStyle w:val="TableParagraph"/>
              <w:rPr>
                <w:rFonts w:ascii="Times New Roman"/>
              </w:rPr>
            </w:pPr>
          </w:p>
        </w:tc>
      </w:tr>
      <w:tr w:rsidR="009F4AC0" w14:paraId="300F50A4" w14:textId="77777777" w:rsidTr="0002370D">
        <w:trPr>
          <w:trHeight w:val="395"/>
        </w:trPr>
        <w:tc>
          <w:tcPr>
            <w:tcW w:w="2860" w:type="dxa"/>
            <w:vMerge/>
            <w:tcBorders>
              <w:top w:val="nil"/>
            </w:tcBorders>
            <w:shd w:val="clear" w:color="auto" w:fill="FCE9D9"/>
          </w:tcPr>
          <w:p w14:paraId="300F50A1" w14:textId="77777777" w:rsidR="009F4AC0" w:rsidRDefault="009F4AC0">
            <w:pPr>
              <w:rPr>
                <w:sz w:val="2"/>
                <w:szCs w:val="2"/>
              </w:rPr>
            </w:pPr>
          </w:p>
        </w:tc>
        <w:tc>
          <w:tcPr>
            <w:tcW w:w="11028" w:type="dxa"/>
          </w:tcPr>
          <w:p w14:paraId="300F50A2" w14:textId="77777777" w:rsidR="009F4AC0" w:rsidRDefault="002132D0">
            <w:pPr>
              <w:pStyle w:val="TableParagraph"/>
              <w:spacing w:before="120" w:line="255" w:lineRule="exact"/>
              <w:ind w:left="110"/>
              <w:rPr>
                <w:sz w:val="24"/>
              </w:rPr>
            </w:pPr>
            <w:r>
              <w:rPr>
                <w:sz w:val="24"/>
              </w:rPr>
              <w:t>Outcome 2 – Proceed with adjustments to remove barriers identified or to better promote equality</w:t>
            </w:r>
          </w:p>
        </w:tc>
        <w:tc>
          <w:tcPr>
            <w:tcW w:w="568" w:type="dxa"/>
          </w:tcPr>
          <w:p w14:paraId="300F50A3" w14:textId="1F462509" w:rsidR="009F4AC0" w:rsidRPr="004A5E97" w:rsidRDefault="004A5E97">
            <w:pPr>
              <w:pStyle w:val="TableParagraph"/>
            </w:pPr>
            <w:r w:rsidRPr="004A5E97">
              <w:t>X</w:t>
            </w:r>
          </w:p>
        </w:tc>
      </w:tr>
      <w:tr w:rsidR="009F4AC0" w14:paraId="300F50A8" w14:textId="77777777" w:rsidTr="0002370D">
        <w:trPr>
          <w:trHeight w:val="672"/>
        </w:trPr>
        <w:tc>
          <w:tcPr>
            <w:tcW w:w="2860" w:type="dxa"/>
            <w:vMerge/>
            <w:tcBorders>
              <w:top w:val="nil"/>
            </w:tcBorders>
            <w:shd w:val="clear" w:color="auto" w:fill="FCE9D9"/>
          </w:tcPr>
          <w:p w14:paraId="300F50A5" w14:textId="77777777" w:rsidR="009F4AC0" w:rsidRDefault="009F4AC0">
            <w:pPr>
              <w:rPr>
                <w:sz w:val="2"/>
                <w:szCs w:val="2"/>
              </w:rPr>
            </w:pPr>
          </w:p>
        </w:tc>
        <w:tc>
          <w:tcPr>
            <w:tcW w:w="11028" w:type="dxa"/>
          </w:tcPr>
          <w:p w14:paraId="300F50A6" w14:textId="77777777" w:rsidR="009F4AC0" w:rsidRDefault="002132D0">
            <w:pPr>
              <w:pStyle w:val="TableParagraph"/>
              <w:spacing w:before="121" w:line="270" w:lineRule="atLeast"/>
              <w:ind w:left="1359" w:right="270" w:hanging="1249"/>
              <w:rPr>
                <w:sz w:val="24"/>
              </w:rPr>
            </w:pPr>
            <w:r>
              <w:rPr>
                <w:sz w:val="24"/>
              </w:rPr>
              <w:t>Outcome 3 – Continue despite having identified some potential for adverse impact or missed opportunity to promote equality</w:t>
            </w:r>
          </w:p>
        </w:tc>
        <w:tc>
          <w:tcPr>
            <w:tcW w:w="568" w:type="dxa"/>
          </w:tcPr>
          <w:p w14:paraId="300F50A7" w14:textId="77777777" w:rsidR="009F4AC0" w:rsidRDefault="009F4AC0">
            <w:pPr>
              <w:pStyle w:val="TableParagraph"/>
              <w:rPr>
                <w:rFonts w:ascii="Times New Roman"/>
              </w:rPr>
            </w:pPr>
          </w:p>
        </w:tc>
      </w:tr>
      <w:tr w:rsidR="009F4AC0" w14:paraId="300F50AC" w14:textId="77777777" w:rsidTr="0002370D">
        <w:trPr>
          <w:trHeight w:val="394"/>
        </w:trPr>
        <w:tc>
          <w:tcPr>
            <w:tcW w:w="2860" w:type="dxa"/>
            <w:vMerge/>
            <w:tcBorders>
              <w:top w:val="nil"/>
            </w:tcBorders>
            <w:shd w:val="clear" w:color="auto" w:fill="FCE9D9"/>
          </w:tcPr>
          <w:p w14:paraId="300F50A9" w14:textId="77777777" w:rsidR="009F4AC0" w:rsidRDefault="009F4AC0">
            <w:pPr>
              <w:rPr>
                <w:sz w:val="2"/>
                <w:szCs w:val="2"/>
              </w:rPr>
            </w:pPr>
          </w:p>
        </w:tc>
        <w:tc>
          <w:tcPr>
            <w:tcW w:w="11028" w:type="dxa"/>
          </w:tcPr>
          <w:p w14:paraId="300F50AA" w14:textId="77777777" w:rsidR="009F4AC0" w:rsidRDefault="002132D0">
            <w:pPr>
              <w:pStyle w:val="TableParagraph"/>
              <w:spacing w:before="119" w:line="255" w:lineRule="exact"/>
              <w:ind w:left="110"/>
              <w:rPr>
                <w:sz w:val="24"/>
              </w:rPr>
            </w:pPr>
            <w:r>
              <w:rPr>
                <w:sz w:val="24"/>
              </w:rPr>
              <w:t>Outcome 4 – Stop and rethink as actual or potential unlawful discrimination has been identified</w:t>
            </w:r>
          </w:p>
        </w:tc>
        <w:tc>
          <w:tcPr>
            <w:tcW w:w="568" w:type="dxa"/>
          </w:tcPr>
          <w:p w14:paraId="300F50AB" w14:textId="77777777" w:rsidR="009F4AC0" w:rsidRDefault="009F4AC0">
            <w:pPr>
              <w:pStyle w:val="TableParagraph"/>
              <w:rPr>
                <w:rFonts w:ascii="Times New Roman"/>
              </w:rPr>
            </w:pPr>
          </w:p>
        </w:tc>
      </w:tr>
      <w:tr w:rsidR="009F4AC0" w14:paraId="300F50AE" w14:textId="77777777">
        <w:trPr>
          <w:trHeight w:val="397"/>
        </w:trPr>
        <w:tc>
          <w:tcPr>
            <w:tcW w:w="14456" w:type="dxa"/>
            <w:gridSpan w:val="3"/>
            <w:shd w:val="clear" w:color="auto" w:fill="FCE9D9"/>
          </w:tcPr>
          <w:p w14:paraId="300F50AD" w14:textId="77777777" w:rsidR="009F4AC0" w:rsidRDefault="002132D0">
            <w:pPr>
              <w:pStyle w:val="TableParagraph"/>
              <w:spacing w:before="82"/>
              <w:ind w:left="110"/>
              <w:rPr>
                <w:sz w:val="24"/>
              </w:rPr>
            </w:pPr>
            <w:r>
              <w:rPr>
                <w:sz w:val="24"/>
              </w:rPr>
              <w:t>Any other recommendations?</w:t>
            </w:r>
          </w:p>
        </w:tc>
      </w:tr>
      <w:tr w:rsidR="009F4AC0" w14:paraId="300F50B0" w14:textId="77777777">
        <w:trPr>
          <w:trHeight w:val="534"/>
        </w:trPr>
        <w:tc>
          <w:tcPr>
            <w:tcW w:w="14456" w:type="dxa"/>
            <w:gridSpan w:val="3"/>
          </w:tcPr>
          <w:p w14:paraId="300F50AF" w14:textId="569AE34E" w:rsidR="009F4AC0" w:rsidRPr="0002370D" w:rsidRDefault="0002370D">
            <w:pPr>
              <w:pStyle w:val="TableParagraph"/>
            </w:pPr>
            <w:r w:rsidRPr="0002370D">
              <w:t>No</w:t>
            </w:r>
          </w:p>
        </w:tc>
      </w:tr>
    </w:tbl>
    <w:p w14:paraId="300F50B1" w14:textId="77777777" w:rsidR="009F4AC0" w:rsidRDefault="009F4AC0">
      <w:pPr>
        <w:rPr>
          <w:rFonts w:ascii="Times New Roman"/>
        </w:rPr>
        <w:sectPr w:rsidR="009F4AC0">
          <w:pgSz w:w="16840" w:h="11910" w:orient="landscape"/>
          <w:pgMar w:top="480" w:right="680" w:bottom="800" w:left="1020" w:header="0" w:footer="608" w:gutter="0"/>
          <w:cols w:space="720"/>
        </w:sectPr>
      </w:pPr>
    </w:p>
    <w:p w14:paraId="300F50B2" w14:textId="77777777" w:rsidR="009F4AC0" w:rsidRDefault="002132D0">
      <w:pPr>
        <w:spacing w:before="80"/>
        <w:ind w:left="112"/>
        <w:rPr>
          <w:b/>
          <w:sz w:val="24"/>
        </w:rPr>
      </w:pPr>
      <w:r>
        <w:rPr>
          <w:b/>
          <w:sz w:val="24"/>
        </w:rPr>
        <w:lastRenderedPageBreak/>
        <w:t>Step 4: The monitoring and review stage</w:t>
      </w:r>
    </w:p>
    <w:p w14:paraId="300F50B3" w14:textId="77777777" w:rsidR="009F4AC0" w:rsidRDefault="009F4AC0">
      <w:pPr>
        <w:spacing w:after="1"/>
        <w:rPr>
          <w:b/>
          <w:sz w:val="2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5"/>
        <w:gridCol w:w="3545"/>
        <w:gridCol w:w="3262"/>
      </w:tblGrid>
      <w:tr w:rsidR="009F4AC0" w14:paraId="300F50B9" w14:textId="77777777">
        <w:trPr>
          <w:trHeight w:val="1701"/>
        </w:trPr>
        <w:tc>
          <w:tcPr>
            <w:tcW w:w="14882" w:type="dxa"/>
            <w:gridSpan w:val="3"/>
            <w:shd w:val="clear" w:color="auto" w:fill="FCE9D9"/>
          </w:tcPr>
          <w:p w14:paraId="300F50B4" w14:textId="77777777" w:rsidR="009F4AC0" w:rsidRDefault="002132D0">
            <w:pPr>
              <w:pStyle w:val="TableParagraph"/>
              <w:spacing w:before="60"/>
              <w:ind w:left="110"/>
              <w:rPr>
                <w:b/>
                <w:sz w:val="24"/>
              </w:rPr>
            </w:pPr>
            <w:r>
              <w:rPr>
                <w:b/>
                <w:sz w:val="24"/>
              </w:rPr>
              <w:t>Plan actions to reduce negative impact, advance equality and monitor the impact of the policy, proposal or decision</w:t>
            </w:r>
          </w:p>
          <w:p w14:paraId="300F50B5" w14:textId="77777777" w:rsidR="009F4AC0" w:rsidRDefault="002132D0">
            <w:pPr>
              <w:pStyle w:val="TableParagraph"/>
              <w:numPr>
                <w:ilvl w:val="0"/>
                <w:numId w:val="2"/>
              </w:numPr>
              <w:tabs>
                <w:tab w:val="left" w:pos="823"/>
                <w:tab w:val="left" w:pos="824"/>
              </w:tabs>
              <w:spacing w:before="1" w:line="292" w:lineRule="exact"/>
              <w:rPr>
                <w:rFonts w:ascii="Symbol" w:hAnsi="Symbol"/>
                <w:sz w:val="24"/>
              </w:rPr>
            </w:pPr>
            <w:r>
              <w:rPr>
                <w:sz w:val="24"/>
              </w:rPr>
              <w:t>Please indicate if there is any data which needs to be collected as part of action to be taken and how often it will be</w:t>
            </w:r>
            <w:r>
              <w:rPr>
                <w:spacing w:val="-31"/>
                <w:sz w:val="24"/>
              </w:rPr>
              <w:t xml:space="preserve"> </w:t>
            </w:r>
            <w:r>
              <w:rPr>
                <w:sz w:val="24"/>
              </w:rPr>
              <w:t>analysed.</w:t>
            </w:r>
          </w:p>
          <w:p w14:paraId="300F50B6" w14:textId="77777777" w:rsidR="009F4AC0" w:rsidRDefault="002132D0">
            <w:pPr>
              <w:pStyle w:val="TableParagraph"/>
              <w:numPr>
                <w:ilvl w:val="0"/>
                <w:numId w:val="2"/>
              </w:numPr>
              <w:tabs>
                <w:tab w:val="left" w:pos="823"/>
                <w:tab w:val="left" w:pos="824"/>
              </w:tabs>
              <w:ind w:right="148"/>
              <w:rPr>
                <w:rFonts w:ascii="Symbol" w:hAnsi="Symbol"/>
                <w:sz w:val="24"/>
              </w:rPr>
            </w:pPr>
            <w:r>
              <w:rPr>
                <w:sz w:val="24"/>
              </w:rPr>
              <w:t>Indicate how the person responsible will continue to involve relevant groups and communities in the implementation and</w:t>
            </w:r>
            <w:r>
              <w:rPr>
                <w:spacing w:val="-43"/>
                <w:sz w:val="24"/>
              </w:rPr>
              <w:t xml:space="preserve"> </w:t>
            </w:r>
            <w:r>
              <w:rPr>
                <w:sz w:val="24"/>
              </w:rPr>
              <w:t>monitoring of the policy,</w:t>
            </w:r>
            <w:r>
              <w:rPr>
                <w:spacing w:val="1"/>
                <w:sz w:val="24"/>
              </w:rPr>
              <w:t xml:space="preserve"> </w:t>
            </w:r>
            <w:r>
              <w:rPr>
                <w:sz w:val="24"/>
              </w:rPr>
              <w:t>etc.</w:t>
            </w:r>
          </w:p>
          <w:p w14:paraId="300F50B7" w14:textId="77777777" w:rsidR="009F4AC0" w:rsidRDefault="002132D0">
            <w:pPr>
              <w:pStyle w:val="TableParagraph"/>
              <w:numPr>
                <w:ilvl w:val="0"/>
                <w:numId w:val="2"/>
              </w:numPr>
              <w:tabs>
                <w:tab w:val="left" w:pos="823"/>
                <w:tab w:val="left" w:pos="824"/>
              </w:tabs>
              <w:spacing w:line="274" w:lineRule="exact"/>
              <w:rPr>
                <w:rFonts w:ascii="Symbol" w:hAnsi="Symbol"/>
              </w:rPr>
            </w:pPr>
            <w:r>
              <w:rPr>
                <w:sz w:val="24"/>
              </w:rPr>
              <w:t>How will the impact of the policy/procedure/decision be</w:t>
            </w:r>
            <w:r>
              <w:rPr>
                <w:spacing w:val="-5"/>
                <w:sz w:val="24"/>
              </w:rPr>
              <w:t xml:space="preserve"> </w:t>
            </w:r>
            <w:r>
              <w:rPr>
                <w:sz w:val="24"/>
              </w:rPr>
              <w:t>monitored?</w:t>
            </w:r>
          </w:p>
          <w:p w14:paraId="300F50B8" w14:textId="77777777" w:rsidR="009F4AC0" w:rsidRDefault="002132D0">
            <w:pPr>
              <w:pStyle w:val="TableParagraph"/>
              <w:spacing w:line="210" w:lineRule="exact"/>
              <w:ind w:left="823"/>
              <w:rPr>
                <w:sz w:val="20"/>
              </w:rPr>
            </w:pPr>
            <w:r>
              <w:rPr>
                <w:sz w:val="20"/>
              </w:rPr>
              <w:t>See Note 10</w:t>
            </w:r>
          </w:p>
        </w:tc>
      </w:tr>
      <w:tr w:rsidR="009F4AC0" w14:paraId="300F50BD" w14:textId="77777777">
        <w:trPr>
          <w:trHeight w:val="625"/>
        </w:trPr>
        <w:tc>
          <w:tcPr>
            <w:tcW w:w="8075" w:type="dxa"/>
          </w:tcPr>
          <w:p w14:paraId="300F50BA" w14:textId="77777777" w:rsidR="009F4AC0" w:rsidRDefault="002132D0">
            <w:pPr>
              <w:pStyle w:val="TableParagraph"/>
              <w:spacing w:before="60"/>
              <w:ind w:left="110"/>
              <w:rPr>
                <w:b/>
              </w:rPr>
            </w:pPr>
            <w:r>
              <w:rPr>
                <w:b/>
              </w:rPr>
              <w:t>Action to be Taken:</w:t>
            </w:r>
          </w:p>
        </w:tc>
        <w:tc>
          <w:tcPr>
            <w:tcW w:w="3545" w:type="dxa"/>
          </w:tcPr>
          <w:p w14:paraId="300F50BB" w14:textId="77777777" w:rsidR="009F4AC0" w:rsidRDefault="002132D0">
            <w:pPr>
              <w:pStyle w:val="TableParagraph"/>
              <w:spacing w:before="60"/>
              <w:ind w:left="110"/>
              <w:rPr>
                <w:b/>
              </w:rPr>
            </w:pPr>
            <w:r>
              <w:rPr>
                <w:b/>
              </w:rPr>
              <w:t>Person Responsible:</w:t>
            </w:r>
          </w:p>
        </w:tc>
        <w:tc>
          <w:tcPr>
            <w:tcW w:w="3262" w:type="dxa"/>
          </w:tcPr>
          <w:p w14:paraId="300F50BC" w14:textId="77777777" w:rsidR="009F4AC0" w:rsidRDefault="002132D0">
            <w:pPr>
              <w:pStyle w:val="TableParagraph"/>
              <w:spacing w:before="60"/>
              <w:ind w:left="110"/>
              <w:rPr>
                <w:b/>
              </w:rPr>
            </w:pPr>
            <w:r>
              <w:rPr>
                <w:b/>
              </w:rPr>
              <w:t>Completion/Review Date:</w:t>
            </w:r>
          </w:p>
        </w:tc>
      </w:tr>
      <w:tr w:rsidR="009F4AC0" w14:paraId="300F50C1" w14:textId="77777777">
        <w:trPr>
          <w:trHeight w:val="516"/>
        </w:trPr>
        <w:tc>
          <w:tcPr>
            <w:tcW w:w="8075" w:type="dxa"/>
          </w:tcPr>
          <w:p w14:paraId="300F50BE" w14:textId="6C2F0A9C" w:rsidR="009F4AC0" w:rsidRPr="004A5E97" w:rsidRDefault="004A5E97">
            <w:pPr>
              <w:pStyle w:val="TableParagraph"/>
            </w:pPr>
            <w:r>
              <w:t xml:space="preserve">Run </w:t>
            </w:r>
            <w:r w:rsidR="00780925">
              <w:t>quarterly</w:t>
            </w:r>
            <w:r>
              <w:t xml:space="preserve"> statistical reports on cases which were active/live during this period by each protected characteristic to identify if those in any particular group</w:t>
            </w:r>
            <w:r w:rsidR="002132D0">
              <w:t>(s)</w:t>
            </w:r>
            <w:r>
              <w:t xml:space="preserve"> are being disproportionately affected.</w:t>
            </w:r>
          </w:p>
        </w:tc>
        <w:tc>
          <w:tcPr>
            <w:tcW w:w="3545" w:type="dxa"/>
          </w:tcPr>
          <w:p w14:paraId="300F50BF" w14:textId="5A138674" w:rsidR="009F4AC0" w:rsidRPr="004A5E97" w:rsidRDefault="004A5E97">
            <w:pPr>
              <w:pStyle w:val="TableParagraph"/>
            </w:pPr>
            <w:r w:rsidRPr="004A5E97">
              <w:t>Systems Team (Irene Michie)</w:t>
            </w:r>
          </w:p>
        </w:tc>
        <w:tc>
          <w:tcPr>
            <w:tcW w:w="3262" w:type="dxa"/>
          </w:tcPr>
          <w:p w14:paraId="300F50C0" w14:textId="4D22680A" w:rsidR="009F4AC0" w:rsidRPr="004A5E97" w:rsidRDefault="004A5E97">
            <w:pPr>
              <w:pStyle w:val="TableParagraph"/>
            </w:pPr>
            <w:r w:rsidRPr="004A5E97">
              <w:t>Ongoing</w:t>
            </w:r>
            <w:r>
              <w:t xml:space="preserve"> - quarterly</w:t>
            </w:r>
          </w:p>
        </w:tc>
      </w:tr>
      <w:tr w:rsidR="009F4AC0" w14:paraId="300F50C5" w14:textId="77777777">
        <w:trPr>
          <w:trHeight w:val="518"/>
        </w:trPr>
        <w:tc>
          <w:tcPr>
            <w:tcW w:w="8075" w:type="dxa"/>
          </w:tcPr>
          <w:p w14:paraId="300F50C2" w14:textId="056B826D" w:rsidR="009F4AC0" w:rsidRPr="004A5E97" w:rsidRDefault="004A5E97">
            <w:pPr>
              <w:pStyle w:val="TableParagraph"/>
            </w:pPr>
            <w:r w:rsidRPr="004A5E97">
              <w:t>Regular reviews</w:t>
            </w:r>
            <w:r>
              <w:t xml:space="preserve"> at JNC meetings</w:t>
            </w:r>
            <w:r w:rsidRPr="004A5E97">
              <w:t xml:space="preserve"> to be undertaken with Unions to request any appropriate </w:t>
            </w:r>
            <w:r>
              <w:t xml:space="preserve">general </w:t>
            </w:r>
            <w:r w:rsidRPr="004A5E97">
              <w:t xml:space="preserve">feedback on the </w:t>
            </w:r>
            <w:r>
              <w:t xml:space="preserve">impact of the </w:t>
            </w:r>
            <w:r w:rsidRPr="004A5E97">
              <w:t>implementation of the policy &amp; procedure.</w:t>
            </w:r>
          </w:p>
        </w:tc>
        <w:tc>
          <w:tcPr>
            <w:tcW w:w="3545" w:type="dxa"/>
          </w:tcPr>
          <w:p w14:paraId="300F50C3" w14:textId="60C4AE17" w:rsidR="009F4AC0" w:rsidRPr="004A5E97" w:rsidRDefault="004A5E97">
            <w:pPr>
              <w:pStyle w:val="TableParagraph"/>
            </w:pPr>
            <w:r w:rsidRPr="004A5E97">
              <w:t xml:space="preserve">Sue Clyne </w:t>
            </w:r>
          </w:p>
        </w:tc>
        <w:tc>
          <w:tcPr>
            <w:tcW w:w="3262" w:type="dxa"/>
          </w:tcPr>
          <w:p w14:paraId="300F50C4" w14:textId="039A22D4" w:rsidR="009F4AC0" w:rsidRPr="004A5E97" w:rsidRDefault="004A5E97">
            <w:pPr>
              <w:pStyle w:val="TableParagraph"/>
            </w:pPr>
            <w:r w:rsidRPr="004A5E97">
              <w:t>Ongoing - quarterly</w:t>
            </w:r>
          </w:p>
        </w:tc>
      </w:tr>
      <w:tr w:rsidR="009F4AC0" w14:paraId="300F50C9" w14:textId="77777777">
        <w:trPr>
          <w:trHeight w:val="515"/>
        </w:trPr>
        <w:tc>
          <w:tcPr>
            <w:tcW w:w="8075" w:type="dxa"/>
          </w:tcPr>
          <w:p w14:paraId="300F50C6" w14:textId="04029601" w:rsidR="009F4AC0" w:rsidRPr="006E769C" w:rsidRDefault="006E769C">
            <w:pPr>
              <w:pStyle w:val="TableParagraph"/>
            </w:pPr>
            <w:r w:rsidRPr="006E769C">
              <w:t>Undertake a 3-yearly review</w:t>
            </w:r>
            <w:r>
              <w:t xml:space="preserve"> of the policy and procedure</w:t>
            </w:r>
            <w:r w:rsidRPr="006E769C">
              <w:t>, or sooner if legislative changes require it, to ensure</w:t>
            </w:r>
            <w:r w:rsidR="00100DD1">
              <w:t xml:space="preserve"> it remains</w:t>
            </w:r>
            <w:r w:rsidRPr="006E769C">
              <w:t xml:space="preserve"> in line with current legislation, terminology etc.</w:t>
            </w:r>
          </w:p>
        </w:tc>
        <w:tc>
          <w:tcPr>
            <w:tcW w:w="3545" w:type="dxa"/>
          </w:tcPr>
          <w:p w14:paraId="300F50C7" w14:textId="06A1BCD8" w:rsidR="009F4AC0" w:rsidRPr="006E769C" w:rsidRDefault="006E769C">
            <w:pPr>
              <w:pStyle w:val="TableParagraph"/>
            </w:pPr>
            <w:r w:rsidRPr="006E769C">
              <w:t>Sue Clyne (as part of the management/union group)</w:t>
            </w:r>
          </w:p>
        </w:tc>
        <w:tc>
          <w:tcPr>
            <w:tcW w:w="3262" w:type="dxa"/>
          </w:tcPr>
          <w:p w14:paraId="300F50C8" w14:textId="5C0D0DC7" w:rsidR="009F4AC0" w:rsidRPr="006E769C" w:rsidRDefault="006E769C">
            <w:pPr>
              <w:pStyle w:val="TableParagraph"/>
            </w:pPr>
            <w:r w:rsidRPr="006E769C">
              <w:t>3 yearly (or more frequently if required)</w:t>
            </w:r>
          </w:p>
        </w:tc>
      </w:tr>
      <w:tr w:rsidR="009F4AC0" w14:paraId="300F50CD" w14:textId="77777777">
        <w:trPr>
          <w:trHeight w:val="515"/>
        </w:trPr>
        <w:tc>
          <w:tcPr>
            <w:tcW w:w="8075" w:type="dxa"/>
          </w:tcPr>
          <w:p w14:paraId="300F50CA" w14:textId="77EF8819" w:rsidR="009F4AC0" w:rsidRPr="00FD3403" w:rsidRDefault="004C4946">
            <w:pPr>
              <w:pStyle w:val="TableParagraph"/>
            </w:pPr>
            <w:r w:rsidRPr="00FD3403">
              <w:t>Distribute p</w:t>
            </w:r>
            <w:r w:rsidR="00321E3A" w:rsidRPr="00FD3403">
              <w:t>ositive messages</w:t>
            </w:r>
            <w:r w:rsidRPr="00FD3403">
              <w:t>, on a regular basis,</w:t>
            </w:r>
            <w:r w:rsidR="00321E3A" w:rsidRPr="00FD3403">
              <w:t xml:space="preserve"> about </w:t>
            </w:r>
            <w:r w:rsidRPr="00FD3403">
              <w:t>the confidential support employees can access as and when needed</w:t>
            </w:r>
          </w:p>
        </w:tc>
        <w:tc>
          <w:tcPr>
            <w:tcW w:w="3545" w:type="dxa"/>
          </w:tcPr>
          <w:p w14:paraId="300F50CB" w14:textId="6A29EF26" w:rsidR="009F4AC0" w:rsidRPr="00FD3403" w:rsidRDefault="00FD3403">
            <w:pPr>
              <w:pStyle w:val="TableParagraph"/>
            </w:pPr>
            <w:r w:rsidRPr="00FD3403">
              <w:t>Sue Clyne</w:t>
            </w:r>
          </w:p>
        </w:tc>
        <w:tc>
          <w:tcPr>
            <w:tcW w:w="3262" w:type="dxa"/>
          </w:tcPr>
          <w:p w14:paraId="300F50CC" w14:textId="70C264FB" w:rsidR="009F4AC0" w:rsidRPr="00FD3403" w:rsidRDefault="00FD3403">
            <w:pPr>
              <w:pStyle w:val="TableParagraph"/>
            </w:pPr>
            <w:r w:rsidRPr="00FD3403">
              <w:t>Ongoing – when appropriate</w:t>
            </w:r>
          </w:p>
        </w:tc>
      </w:tr>
      <w:tr w:rsidR="009F4AC0" w14:paraId="300F50D1" w14:textId="77777777">
        <w:trPr>
          <w:trHeight w:val="515"/>
        </w:trPr>
        <w:tc>
          <w:tcPr>
            <w:tcW w:w="8075" w:type="dxa"/>
          </w:tcPr>
          <w:p w14:paraId="300F50CE" w14:textId="77777777" w:rsidR="009F4AC0" w:rsidRDefault="009F4AC0">
            <w:pPr>
              <w:pStyle w:val="TableParagraph"/>
              <w:rPr>
                <w:rFonts w:ascii="Times New Roman"/>
              </w:rPr>
            </w:pPr>
          </w:p>
        </w:tc>
        <w:tc>
          <w:tcPr>
            <w:tcW w:w="3545" w:type="dxa"/>
          </w:tcPr>
          <w:p w14:paraId="300F50CF" w14:textId="77777777" w:rsidR="009F4AC0" w:rsidRDefault="009F4AC0">
            <w:pPr>
              <w:pStyle w:val="TableParagraph"/>
              <w:rPr>
                <w:rFonts w:ascii="Times New Roman"/>
              </w:rPr>
            </w:pPr>
          </w:p>
        </w:tc>
        <w:tc>
          <w:tcPr>
            <w:tcW w:w="3262" w:type="dxa"/>
          </w:tcPr>
          <w:p w14:paraId="300F50D0" w14:textId="77777777" w:rsidR="009F4AC0" w:rsidRDefault="009F4AC0">
            <w:pPr>
              <w:pStyle w:val="TableParagraph"/>
              <w:rPr>
                <w:rFonts w:ascii="Times New Roman"/>
              </w:rPr>
            </w:pPr>
          </w:p>
        </w:tc>
      </w:tr>
      <w:tr w:rsidR="009F4AC0" w14:paraId="300F50D4" w14:textId="77777777">
        <w:trPr>
          <w:trHeight w:val="516"/>
        </w:trPr>
        <w:tc>
          <w:tcPr>
            <w:tcW w:w="14882" w:type="dxa"/>
            <w:gridSpan w:val="3"/>
          </w:tcPr>
          <w:p w14:paraId="300F50D2" w14:textId="77777777" w:rsidR="009F4AC0" w:rsidRDefault="009F4AC0">
            <w:pPr>
              <w:pStyle w:val="TableParagraph"/>
              <w:spacing w:before="10"/>
              <w:rPr>
                <w:b/>
                <w:sz w:val="20"/>
              </w:rPr>
            </w:pPr>
          </w:p>
          <w:p w14:paraId="300F50D3" w14:textId="299ADFD7" w:rsidR="009F4AC0" w:rsidRDefault="002132D0">
            <w:pPr>
              <w:pStyle w:val="TableParagraph"/>
              <w:tabs>
                <w:tab w:val="left" w:pos="3711"/>
              </w:tabs>
              <w:spacing w:line="255" w:lineRule="exact"/>
              <w:ind w:left="110"/>
              <w:rPr>
                <w:b/>
                <w:sz w:val="24"/>
              </w:rPr>
            </w:pPr>
            <w:r>
              <w:rPr>
                <w:b/>
                <w:sz w:val="24"/>
              </w:rPr>
              <w:t>Signature</w:t>
            </w:r>
            <w:r>
              <w:rPr>
                <w:b/>
                <w:spacing w:val="-1"/>
                <w:sz w:val="24"/>
              </w:rPr>
              <w:t xml:space="preserve"> </w:t>
            </w:r>
            <w:r>
              <w:rPr>
                <w:b/>
                <w:sz w:val="24"/>
              </w:rPr>
              <w:t>of Lead:</w:t>
            </w:r>
            <w:r>
              <w:rPr>
                <w:b/>
                <w:sz w:val="24"/>
              </w:rPr>
              <w:tab/>
            </w:r>
            <w:r w:rsidR="00C5668D" w:rsidRPr="0074170C">
              <w:rPr>
                <w:rFonts w:ascii="Lato" w:hAnsi="Lato"/>
                <w:noProof/>
              </w:rPr>
              <w:drawing>
                <wp:inline distT="0" distB="0" distL="0" distR="0" wp14:anchorId="694BD0D0" wp14:editId="1C96B0C1">
                  <wp:extent cx="1380713" cy="332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1177" cy="347311"/>
                          </a:xfrm>
                          <a:prstGeom prst="rect">
                            <a:avLst/>
                          </a:prstGeom>
                          <a:noFill/>
                          <a:ln>
                            <a:noFill/>
                          </a:ln>
                        </pic:spPr>
                      </pic:pic>
                    </a:graphicData>
                  </a:graphic>
                </wp:inline>
              </w:drawing>
            </w:r>
            <w:r w:rsidR="00FD3403">
              <w:rPr>
                <w:b/>
                <w:sz w:val="24"/>
              </w:rPr>
              <w:t xml:space="preserve">                                                                                           </w:t>
            </w:r>
            <w:r>
              <w:rPr>
                <w:b/>
                <w:sz w:val="24"/>
              </w:rPr>
              <w:t>Date:</w:t>
            </w:r>
            <w:r w:rsidR="00FD3403">
              <w:rPr>
                <w:b/>
                <w:sz w:val="24"/>
              </w:rPr>
              <w:t xml:space="preserve"> 25 March 2024</w:t>
            </w:r>
          </w:p>
        </w:tc>
      </w:tr>
      <w:tr w:rsidR="009F4AC0" w14:paraId="300F50DE" w14:textId="77777777">
        <w:trPr>
          <w:trHeight w:val="2328"/>
        </w:trPr>
        <w:tc>
          <w:tcPr>
            <w:tcW w:w="14882" w:type="dxa"/>
            <w:gridSpan w:val="3"/>
          </w:tcPr>
          <w:p w14:paraId="300F50D5" w14:textId="77777777" w:rsidR="009F4AC0" w:rsidRDefault="009F4AC0">
            <w:pPr>
              <w:pStyle w:val="TableParagraph"/>
              <w:spacing w:before="10"/>
              <w:rPr>
                <w:b/>
                <w:sz w:val="20"/>
              </w:rPr>
            </w:pPr>
          </w:p>
          <w:p w14:paraId="300F50D6" w14:textId="77777777" w:rsidR="009F4AC0" w:rsidRDefault="002132D0">
            <w:pPr>
              <w:pStyle w:val="TableParagraph"/>
              <w:ind w:left="110"/>
              <w:rPr>
                <w:b/>
                <w:sz w:val="24"/>
              </w:rPr>
            </w:pPr>
            <w:r>
              <w:rPr>
                <w:b/>
                <w:sz w:val="24"/>
              </w:rPr>
              <w:t>Step 5 – Review and Publication</w:t>
            </w:r>
          </w:p>
          <w:p w14:paraId="300F50D7" w14:textId="77777777" w:rsidR="009F4AC0" w:rsidRDefault="009F4AC0">
            <w:pPr>
              <w:pStyle w:val="TableParagraph"/>
              <w:spacing w:before="9"/>
              <w:rPr>
                <w:b/>
                <w:sz w:val="20"/>
              </w:rPr>
            </w:pPr>
          </w:p>
          <w:p w14:paraId="300F50D8" w14:textId="77777777" w:rsidR="009F4AC0" w:rsidRDefault="002132D0">
            <w:pPr>
              <w:pStyle w:val="TableParagraph"/>
              <w:ind w:left="110"/>
              <w:rPr>
                <w:sz w:val="20"/>
              </w:rPr>
            </w:pPr>
            <w:r>
              <w:rPr>
                <w:sz w:val="20"/>
              </w:rPr>
              <w:t>See Note 11</w:t>
            </w:r>
          </w:p>
          <w:p w14:paraId="300F50D9" w14:textId="77777777" w:rsidR="009F4AC0" w:rsidRDefault="009F4AC0">
            <w:pPr>
              <w:pStyle w:val="TableParagraph"/>
              <w:rPr>
                <w:b/>
                <w:sz w:val="21"/>
              </w:rPr>
            </w:pPr>
          </w:p>
          <w:p w14:paraId="300F50DA" w14:textId="77777777" w:rsidR="009F4AC0" w:rsidRDefault="002132D0">
            <w:pPr>
              <w:pStyle w:val="TableParagraph"/>
              <w:ind w:left="110"/>
              <w:rPr>
                <w:sz w:val="24"/>
              </w:rPr>
            </w:pPr>
            <w:r>
              <w:rPr>
                <w:sz w:val="24"/>
              </w:rPr>
              <w:t xml:space="preserve">Please send the completed EIA record to </w:t>
            </w:r>
            <w:hyperlink r:id="rId13">
              <w:r>
                <w:rPr>
                  <w:color w:val="0000FF"/>
                  <w:sz w:val="24"/>
                  <w:u w:val="single" w:color="0000FF"/>
                </w:rPr>
                <w:t>equality@edinburghcollege.ac.uk</w:t>
              </w:r>
              <w:r>
                <w:rPr>
                  <w:color w:val="0000FF"/>
                  <w:sz w:val="24"/>
                </w:rPr>
                <w:t xml:space="preserve"> </w:t>
              </w:r>
            </w:hyperlink>
            <w:r>
              <w:rPr>
                <w:sz w:val="24"/>
              </w:rPr>
              <w:t>for</w:t>
            </w:r>
          </w:p>
          <w:p w14:paraId="300F50DB" w14:textId="77777777" w:rsidR="009F4AC0" w:rsidRDefault="009F4AC0">
            <w:pPr>
              <w:pStyle w:val="TableParagraph"/>
              <w:spacing w:before="10"/>
              <w:rPr>
                <w:b/>
                <w:sz w:val="20"/>
              </w:rPr>
            </w:pPr>
          </w:p>
          <w:p w14:paraId="300F50DC" w14:textId="77777777" w:rsidR="009F4AC0" w:rsidRDefault="002132D0">
            <w:pPr>
              <w:pStyle w:val="TableParagraph"/>
              <w:numPr>
                <w:ilvl w:val="0"/>
                <w:numId w:val="1"/>
              </w:numPr>
              <w:tabs>
                <w:tab w:val="left" w:pos="830"/>
                <w:tab w:val="left" w:pos="831"/>
              </w:tabs>
              <w:spacing w:before="1" w:line="294" w:lineRule="exact"/>
              <w:ind w:hanging="361"/>
              <w:rPr>
                <w:sz w:val="24"/>
              </w:rPr>
            </w:pPr>
            <w:r>
              <w:rPr>
                <w:sz w:val="24"/>
              </w:rPr>
              <w:t>review by Equalities</w:t>
            </w:r>
            <w:r>
              <w:rPr>
                <w:spacing w:val="-5"/>
                <w:sz w:val="24"/>
              </w:rPr>
              <w:t xml:space="preserve"> </w:t>
            </w:r>
            <w:r>
              <w:rPr>
                <w:sz w:val="24"/>
              </w:rPr>
              <w:t>team</w:t>
            </w:r>
          </w:p>
          <w:p w14:paraId="300F50DD" w14:textId="77777777" w:rsidR="009F4AC0" w:rsidRDefault="002132D0">
            <w:pPr>
              <w:pStyle w:val="TableParagraph"/>
              <w:numPr>
                <w:ilvl w:val="0"/>
                <w:numId w:val="1"/>
              </w:numPr>
              <w:tabs>
                <w:tab w:val="left" w:pos="830"/>
                <w:tab w:val="left" w:pos="831"/>
              </w:tabs>
              <w:spacing w:line="271" w:lineRule="exact"/>
              <w:ind w:hanging="361"/>
              <w:rPr>
                <w:sz w:val="24"/>
              </w:rPr>
            </w:pPr>
            <w:r>
              <w:rPr>
                <w:sz w:val="24"/>
              </w:rPr>
              <w:t>publication in whole or in part on the College</w:t>
            </w:r>
            <w:r>
              <w:rPr>
                <w:spacing w:val="-7"/>
                <w:sz w:val="24"/>
              </w:rPr>
              <w:t xml:space="preserve"> </w:t>
            </w:r>
            <w:r>
              <w:rPr>
                <w:sz w:val="24"/>
              </w:rPr>
              <w:t>website.</w:t>
            </w:r>
          </w:p>
        </w:tc>
      </w:tr>
    </w:tbl>
    <w:p w14:paraId="300F50DF" w14:textId="77777777" w:rsidR="00FA62CA" w:rsidRDefault="00FA62CA"/>
    <w:sectPr w:rsidR="00FA62CA">
      <w:pgSz w:w="16840" w:h="11910" w:orient="landscape"/>
      <w:pgMar w:top="480" w:right="680" w:bottom="880" w:left="1020" w:header="0" w:footer="6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F50E6" w14:textId="77777777" w:rsidR="00FA62CA" w:rsidRDefault="002132D0">
      <w:r>
        <w:separator/>
      </w:r>
    </w:p>
  </w:endnote>
  <w:endnote w:type="continuationSeparator" w:id="0">
    <w:p w14:paraId="300F50E8" w14:textId="77777777" w:rsidR="00FA62CA" w:rsidRDefault="0021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F50E1" w14:textId="6761FA00" w:rsidR="009F4AC0" w:rsidRDefault="004C4946">
    <w:pPr>
      <w:pStyle w:val="BodyText"/>
      <w:spacing w:line="14" w:lineRule="auto"/>
      <w:rPr>
        <w:sz w:val="12"/>
      </w:rPr>
    </w:pPr>
    <w:r>
      <w:rPr>
        <w:noProof/>
      </w:rPr>
      <mc:AlternateContent>
        <mc:Choice Requires="wps">
          <w:drawing>
            <wp:anchor distT="0" distB="0" distL="114300" distR="114300" simplePos="0" relativeHeight="251061248" behindDoc="1" locked="0" layoutInCell="1" allowOverlap="1" wp14:anchorId="300F50E2" wp14:editId="05033702">
              <wp:simplePos x="0" y="0"/>
              <wp:positionH relativeFrom="page">
                <wp:posOffset>706755</wp:posOffset>
              </wp:positionH>
              <wp:positionV relativeFrom="page">
                <wp:posOffset>6984365</wp:posOffset>
              </wp:positionV>
              <wp:extent cx="1567815"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F50E4" w14:textId="77777777" w:rsidR="009F4AC0" w:rsidRDefault="002132D0">
                          <w:pPr>
                            <w:spacing w:before="15"/>
                            <w:ind w:left="20"/>
                            <w:rPr>
                              <w:sz w:val="16"/>
                            </w:rPr>
                          </w:pPr>
                          <w:r>
                            <w:rPr>
                              <w:sz w:val="16"/>
                            </w:rPr>
                            <w:t>Equality Impact Assessment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F50E2" id="_x0000_t202" coordsize="21600,21600" o:spt="202" path="m,l,21600r21600,l21600,xe">
              <v:stroke joinstyle="miter"/>
              <v:path gradientshapeok="t" o:connecttype="rect"/>
            </v:shapetype>
            <v:shape id="Text Box 2" o:spid="_x0000_s1026" type="#_x0000_t202" style="position:absolute;margin-left:55.65pt;margin-top:549.95pt;width:123.45pt;height:11pt;z-index:-25225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lWrgIAAKk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" filled="f" stroked="f">
              <v:textbox inset="0,0,0,0">
                <w:txbxContent>
                  <w:p w14:paraId="300F50E4" w14:textId="77777777" w:rsidR="009F4AC0" w:rsidRDefault="002132D0">
                    <w:pPr>
                      <w:spacing w:before="15"/>
                      <w:ind w:left="20"/>
                      <w:rPr>
                        <w:sz w:val="16"/>
                      </w:rPr>
                    </w:pPr>
                    <w:r>
                      <w:rPr>
                        <w:sz w:val="16"/>
                      </w:rPr>
                      <w:t>Equality Impact Assessment Form</w:t>
                    </w:r>
                  </w:p>
                </w:txbxContent>
              </v:textbox>
              <w10:wrap anchorx="page" anchory="page"/>
            </v:shape>
          </w:pict>
        </mc:Fallback>
      </mc:AlternateContent>
    </w:r>
    <w:r>
      <w:rPr>
        <w:noProof/>
      </w:rPr>
      <mc:AlternateContent>
        <mc:Choice Requires="wps">
          <w:drawing>
            <wp:anchor distT="0" distB="0" distL="114300" distR="114300" simplePos="0" relativeHeight="251062272" behindDoc="1" locked="0" layoutInCell="1" allowOverlap="1" wp14:anchorId="300F50E3" wp14:editId="76DE885B">
              <wp:simplePos x="0" y="0"/>
              <wp:positionH relativeFrom="page">
                <wp:posOffset>8937625</wp:posOffset>
              </wp:positionH>
              <wp:positionV relativeFrom="page">
                <wp:posOffset>6984365</wp:posOffset>
              </wp:positionV>
              <wp:extent cx="54737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F50E5" w14:textId="77777777" w:rsidR="009F4AC0" w:rsidRDefault="002132D0">
                          <w:pPr>
                            <w:spacing w:before="15"/>
                            <w:ind w:left="20"/>
                            <w:rPr>
                              <w:b/>
                              <w:sz w:val="16"/>
                            </w:rPr>
                          </w:pPr>
                          <w:r>
                            <w:rPr>
                              <w:sz w:val="16"/>
                            </w:rPr>
                            <w:t xml:space="preserve">Page </w:t>
                          </w:r>
                          <w:r>
                            <w:fldChar w:fldCharType="begin"/>
                          </w:r>
                          <w:r>
                            <w:rPr>
                              <w:b/>
                              <w:sz w:val="16"/>
                            </w:rPr>
                            <w:instrText xml:space="preserve"> PAGE </w:instrText>
                          </w:r>
                          <w:r>
                            <w:fldChar w:fldCharType="separate"/>
                          </w:r>
                          <w:r>
                            <w:t>3</w:t>
                          </w:r>
                          <w:r>
                            <w:fldChar w:fldCharType="end"/>
                          </w:r>
                          <w:r>
                            <w:rPr>
                              <w:b/>
                              <w:sz w:val="16"/>
                            </w:rPr>
                            <w:t xml:space="preserve"> </w:t>
                          </w:r>
                          <w:r>
                            <w:rPr>
                              <w:sz w:val="16"/>
                            </w:rPr>
                            <w:t xml:space="preserve">of </w:t>
                          </w:r>
                          <w:r>
                            <w:rPr>
                              <w:b/>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F50E3" id="Text Box 1" o:spid="_x0000_s1027" type="#_x0000_t202" style="position:absolute;margin-left:703.75pt;margin-top:549.95pt;width:43.1pt;height:11pt;z-index:-25225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1ITsA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" filled="f" stroked="f">
              <v:textbox inset="0,0,0,0">
                <w:txbxContent>
                  <w:p w14:paraId="300F50E5" w14:textId="77777777" w:rsidR="009F4AC0" w:rsidRDefault="002132D0">
                    <w:pPr>
                      <w:spacing w:before="15"/>
                      <w:ind w:left="20"/>
                      <w:rPr>
                        <w:b/>
                        <w:sz w:val="16"/>
                      </w:rPr>
                    </w:pPr>
                    <w:r>
                      <w:rPr>
                        <w:sz w:val="16"/>
                      </w:rPr>
                      <w:t xml:space="preserve">Page </w:t>
                    </w:r>
                    <w:r>
                      <w:fldChar w:fldCharType="begin"/>
                    </w:r>
                    <w:r>
                      <w:rPr>
                        <w:b/>
                        <w:sz w:val="16"/>
                      </w:rPr>
                      <w:instrText xml:space="preserve"> PAGE </w:instrText>
                    </w:r>
                    <w:r>
                      <w:fldChar w:fldCharType="separate"/>
                    </w:r>
                    <w:r>
                      <w:t>3</w:t>
                    </w:r>
                    <w:r>
                      <w:fldChar w:fldCharType="end"/>
                    </w:r>
                    <w:r>
                      <w:rPr>
                        <w:b/>
                        <w:sz w:val="16"/>
                      </w:rPr>
                      <w:t xml:space="preserve"> </w:t>
                    </w:r>
                    <w:r>
                      <w:rPr>
                        <w:sz w:val="16"/>
                      </w:rPr>
                      <w:t xml:space="preserve">of </w:t>
                    </w:r>
                    <w:r>
                      <w:rPr>
                        <w:b/>
                        <w:sz w:val="16"/>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F50E2" w14:textId="77777777" w:rsidR="00FA62CA" w:rsidRDefault="002132D0">
      <w:r>
        <w:separator/>
      </w:r>
    </w:p>
  </w:footnote>
  <w:footnote w:type="continuationSeparator" w:id="0">
    <w:p w14:paraId="300F50E4" w14:textId="77777777" w:rsidR="00FA62CA" w:rsidRDefault="00213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247E"/>
    <w:multiLevelType w:val="hybridMultilevel"/>
    <w:tmpl w:val="7D22227E"/>
    <w:lvl w:ilvl="0" w:tplc="A2F285A8">
      <w:numFmt w:val="bullet"/>
      <w:lvlText w:val=""/>
      <w:lvlJc w:val="left"/>
      <w:pPr>
        <w:ind w:left="833" w:hanging="361"/>
      </w:pPr>
      <w:rPr>
        <w:rFonts w:ascii="Symbol" w:eastAsia="Symbol" w:hAnsi="Symbol" w:cs="Symbol" w:hint="default"/>
        <w:color w:val="211E1F"/>
        <w:w w:val="100"/>
        <w:sz w:val="24"/>
        <w:szCs w:val="24"/>
        <w:lang w:val="en-GB" w:eastAsia="en-GB" w:bidi="en-GB"/>
      </w:rPr>
    </w:lvl>
    <w:lvl w:ilvl="1" w:tplc="0BF04C00">
      <w:numFmt w:val="bullet"/>
      <w:lvlText w:val="•"/>
      <w:lvlJc w:val="left"/>
      <w:pPr>
        <w:ind w:left="2269" w:hanging="361"/>
      </w:pPr>
      <w:rPr>
        <w:rFonts w:hint="default"/>
        <w:lang w:val="en-GB" w:eastAsia="en-GB" w:bidi="en-GB"/>
      </w:rPr>
    </w:lvl>
    <w:lvl w:ilvl="2" w:tplc="107A930E">
      <w:numFmt w:val="bullet"/>
      <w:lvlText w:val="•"/>
      <w:lvlJc w:val="left"/>
      <w:pPr>
        <w:ind w:left="3699" w:hanging="361"/>
      </w:pPr>
      <w:rPr>
        <w:rFonts w:hint="default"/>
        <w:lang w:val="en-GB" w:eastAsia="en-GB" w:bidi="en-GB"/>
      </w:rPr>
    </w:lvl>
    <w:lvl w:ilvl="3" w:tplc="F72E4B54">
      <w:numFmt w:val="bullet"/>
      <w:lvlText w:val="•"/>
      <w:lvlJc w:val="left"/>
      <w:pPr>
        <w:ind w:left="5129" w:hanging="361"/>
      </w:pPr>
      <w:rPr>
        <w:rFonts w:hint="default"/>
        <w:lang w:val="en-GB" w:eastAsia="en-GB" w:bidi="en-GB"/>
      </w:rPr>
    </w:lvl>
    <w:lvl w:ilvl="4" w:tplc="6E843E38">
      <w:numFmt w:val="bullet"/>
      <w:lvlText w:val="•"/>
      <w:lvlJc w:val="left"/>
      <w:pPr>
        <w:ind w:left="6559" w:hanging="361"/>
      </w:pPr>
      <w:rPr>
        <w:rFonts w:hint="default"/>
        <w:lang w:val="en-GB" w:eastAsia="en-GB" w:bidi="en-GB"/>
      </w:rPr>
    </w:lvl>
    <w:lvl w:ilvl="5" w:tplc="72826970">
      <w:numFmt w:val="bullet"/>
      <w:lvlText w:val="•"/>
      <w:lvlJc w:val="left"/>
      <w:pPr>
        <w:ind w:left="7989" w:hanging="361"/>
      </w:pPr>
      <w:rPr>
        <w:rFonts w:hint="default"/>
        <w:lang w:val="en-GB" w:eastAsia="en-GB" w:bidi="en-GB"/>
      </w:rPr>
    </w:lvl>
    <w:lvl w:ilvl="6" w:tplc="83C0D25C">
      <w:numFmt w:val="bullet"/>
      <w:lvlText w:val="•"/>
      <w:lvlJc w:val="left"/>
      <w:pPr>
        <w:ind w:left="9419" w:hanging="361"/>
      </w:pPr>
      <w:rPr>
        <w:rFonts w:hint="default"/>
        <w:lang w:val="en-GB" w:eastAsia="en-GB" w:bidi="en-GB"/>
      </w:rPr>
    </w:lvl>
    <w:lvl w:ilvl="7" w:tplc="D25A733C">
      <w:numFmt w:val="bullet"/>
      <w:lvlText w:val="•"/>
      <w:lvlJc w:val="left"/>
      <w:pPr>
        <w:ind w:left="10848" w:hanging="361"/>
      </w:pPr>
      <w:rPr>
        <w:rFonts w:hint="default"/>
        <w:lang w:val="en-GB" w:eastAsia="en-GB" w:bidi="en-GB"/>
      </w:rPr>
    </w:lvl>
    <w:lvl w:ilvl="8" w:tplc="2A323650">
      <w:numFmt w:val="bullet"/>
      <w:lvlText w:val="•"/>
      <w:lvlJc w:val="left"/>
      <w:pPr>
        <w:ind w:left="12278" w:hanging="361"/>
      </w:pPr>
      <w:rPr>
        <w:rFonts w:hint="default"/>
        <w:lang w:val="en-GB" w:eastAsia="en-GB" w:bidi="en-GB"/>
      </w:rPr>
    </w:lvl>
  </w:abstractNum>
  <w:abstractNum w:abstractNumId="1" w15:restartNumberingAfterBreak="0">
    <w:nsid w:val="17A01164"/>
    <w:multiLevelType w:val="hybridMultilevel"/>
    <w:tmpl w:val="C3507622"/>
    <w:lvl w:ilvl="0" w:tplc="6400DF18">
      <w:numFmt w:val="bullet"/>
      <w:lvlText w:val=""/>
      <w:lvlJc w:val="left"/>
      <w:pPr>
        <w:ind w:left="828" w:hanging="360"/>
      </w:pPr>
      <w:rPr>
        <w:rFonts w:ascii="Symbol" w:eastAsia="Symbol" w:hAnsi="Symbol" w:cs="Symbol" w:hint="default"/>
        <w:w w:val="100"/>
        <w:sz w:val="28"/>
        <w:szCs w:val="28"/>
        <w:lang w:val="en-GB" w:eastAsia="en-GB" w:bidi="en-GB"/>
      </w:rPr>
    </w:lvl>
    <w:lvl w:ilvl="1" w:tplc="44D4E2B6">
      <w:numFmt w:val="bullet"/>
      <w:lvlText w:val="•"/>
      <w:lvlJc w:val="left"/>
      <w:pPr>
        <w:ind w:left="1366" w:hanging="360"/>
      </w:pPr>
      <w:rPr>
        <w:rFonts w:hint="default"/>
        <w:lang w:val="en-GB" w:eastAsia="en-GB" w:bidi="en-GB"/>
      </w:rPr>
    </w:lvl>
    <w:lvl w:ilvl="2" w:tplc="05780D38">
      <w:numFmt w:val="bullet"/>
      <w:lvlText w:val="•"/>
      <w:lvlJc w:val="left"/>
      <w:pPr>
        <w:ind w:left="1912" w:hanging="360"/>
      </w:pPr>
      <w:rPr>
        <w:rFonts w:hint="default"/>
        <w:lang w:val="en-GB" w:eastAsia="en-GB" w:bidi="en-GB"/>
      </w:rPr>
    </w:lvl>
    <w:lvl w:ilvl="3" w:tplc="6CA20FAE">
      <w:numFmt w:val="bullet"/>
      <w:lvlText w:val="•"/>
      <w:lvlJc w:val="left"/>
      <w:pPr>
        <w:ind w:left="2458" w:hanging="360"/>
      </w:pPr>
      <w:rPr>
        <w:rFonts w:hint="default"/>
        <w:lang w:val="en-GB" w:eastAsia="en-GB" w:bidi="en-GB"/>
      </w:rPr>
    </w:lvl>
    <w:lvl w:ilvl="4" w:tplc="F73657B0">
      <w:numFmt w:val="bullet"/>
      <w:lvlText w:val="•"/>
      <w:lvlJc w:val="left"/>
      <w:pPr>
        <w:ind w:left="3005" w:hanging="360"/>
      </w:pPr>
      <w:rPr>
        <w:rFonts w:hint="default"/>
        <w:lang w:val="en-GB" w:eastAsia="en-GB" w:bidi="en-GB"/>
      </w:rPr>
    </w:lvl>
    <w:lvl w:ilvl="5" w:tplc="5BD2039C">
      <w:numFmt w:val="bullet"/>
      <w:lvlText w:val="•"/>
      <w:lvlJc w:val="left"/>
      <w:pPr>
        <w:ind w:left="3551" w:hanging="360"/>
      </w:pPr>
      <w:rPr>
        <w:rFonts w:hint="default"/>
        <w:lang w:val="en-GB" w:eastAsia="en-GB" w:bidi="en-GB"/>
      </w:rPr>
    </w:lvl>
    <w:lvl w:ilvl="6" w:tplc="F92A8022">
      <w:numFmt w:val="bullet"/>
      <w:lvlText w:val="•"/>
      <w:lvlJc w:val="left"/>
      <w:pPr>
        <w:ind w:left="4097" w:hanging="360"/>
      </w:pPr>
      <w:rPr>
        <w:rFonts w:hint="default"/>
        <w:lang w:val="en-GB" w:eastAsia="en-GB" w:bidi="en-GB"/>
      </w:rPr>
    </w:lvl>
    <w:lvl w:ilvl="7" w:tplc="142C1866">
      <w:numFmt w:val="bullet"/>
      <w:lvlText w:val="•"/>
      <w:lvlJc w:val="left"/>
      <w:pPr>
        <w:ind w:left="4644" w:hanging="360"/>
      </w:pPr>
      <w:rPr>
        <w:rFonts w:hint="default"/>
        <w:lang w:val="en-GB" w:eastAsia="en-GB" w:bidi="en-GB"/>
      </w:rPr>
    </w:lvl>
    <w:lvl w:ilvl="8" w:tplc="45A07F38">
      <w:numFmt w:val="bullet"/>
      <w:lvlText w:val="•"/>
      <w:lvlJc w:val="left"/>
      <w:pPr>
        <w:ind w:left="5190" w:hanging="360"/>
      </w:pPr>
      <w:rPr>
        <w:rFonts w:hint="default"/>
        <w:lang w:val="en-GB" w:eastAsia="en-GB" w:bidi="en-GB"/>
      </w:rPr>
    </w:lvl>
  </w:abstractNum>
  <w:abstractNum w:abstractNumId="2" w15:restartNumberingAfterBreak="0">
    <w:nsid w:val="29DA4D23"/>
    <w:multiLevelType w:val="hybridMultilevel"/>
    <w:tmpl w:val="DB26E3F0"/>
    <w:lvl w:ilvl="0" w:tplc="F33E2EEA">
      <w:start w:val="1"/>
      <w:numFmt w:val="decimal"/>
      <w:lvlText w:val="%1."/>
      <w:lvlJc w:val="left"/>
      <w:pPr>
        <w:ind w:left="833" w:hanging="361"/>
      </w:pPr>
      <w:rPr>
        <w:rFonts w:hint="default"/>
        <w:spacing w:val="-1"/>
        <w:w w:val="100"/>
        <w:lang w:val="en-GB" w:eastAsia="en-GB" w:bidi="en-GB"/>
      </w:rPr>
    </w:lvl>
    <w:lvl w:ilvl="1" w:tplc="1A5490D4">
      <w:numFmt w:val="bullet"/>
      <w:lvlText w:val="•"/>
      <w:lvlJc w:val="left"/>
      <w:pPr>
        <w:ind w:left="2269" w:hanging="361"/>
      </w:pPr>
      <w:rPr>
        <w:rFonts w:hint="default"/>
        <w:lang w:val="en-GB" w:eastAsia="en-GB" w:bidi="en-GB"/>
      </w:rPr>
    </w:lvl>
    <w:lvl w:ilvl="2" w:tplc="C15430F4">
      <w:numFmt w:val="bullet"/>
      <w:lvlText w:val="•"/>
      <w:lvlJc w:val="left"/>
      <w:pPr>
        <w:ind w:left="3699" w:hanging="361"/>
      </w:pPr>
      <w:rPr>
        <w:rFonts w:hint="default"/>
        <w:lang w:val="en-GB" w:eastAsia="en-GB" w:bidi="en-GB"/>
      </w:rPr>
    </w:lvl>
    <w:lvl w:ilvl="3" w:tplc="6E342AEC">
      <w:numFmt w:val="bullet"/>
      <w:lvlText w:val="•"/>
      <w:lvlJc w:val="left"/>
      <w:pPr>
        <w:ind w:left="5129" w:hanging="361"/>
      </w:pPr>
      <w:rPr>
        <w:rFonts w:hint="default"/>
        <w:lang w:val="en-GB" w:eastAsia="en-GB" w:bidi="en-GB"/>
      </w:rPr>
    </w:lvl>
    <w:lvl w:ilvl="4" w:tplc="2A8497AA">
      <w:numFmt w:val="bullet"/>
      <w:lvlText w:val="•"/>
      <w:lvlJc w:val="left"/>
      <w:pPr>
        <w:ind w:left="6559" w:hanging="361"/>
      </w:pPr>
      <w:rPr>
        <w:rFonts w:hint="default"/>
        <w:lang w:val="en-GB" w:eastAsia="en-GB" w:bidi="en-GB"/>
      </w:rPr>
    </w:lvl>
    <w:lvl w:ilvl="5" w:tplc="CA6E9A06">
      <w:numFmt w:val="bullet"/>
      <w:lvlText w:val="•"/>
      <w:lvlJc w:val="left"/>
      <w:pPr>
        <w:ind w:left="7989" w:hanging="361"/>
      </w:pPr>
      <w:rPr>
        <w:rFonts w:hint="default"/>
        <w:lang w:val="en-GB" w:eastAsia="en-GB" w:bidi="en-GB"/>
      </w:rPr>
    </w:lvl>
    <w:lvl w:ilvl="6" w:tplc="68748BCA">
      <w:numFmt w:val="bullet"/>
      <w:lvlText w:val="•"/>
      <w:lvlJc w:val="left"/>
      <w:pPr>
        <w:ind w:left="9419" w:hanging="361"/>
      </w:pPr>
      <w:rPr>
        <w:rFonts w:hint="default"/>
        <w:lang w:val="en-GB" w:eastAsia="en-GB" w:bidi="en-GB"/>
      </w:rPr>
    </w:lvl>
    <w:lvl w:ilvl="7" w:tplc="4300BFA0">
      <w:numFmt w:val="bullet"/>
      <w:lvlText w:val="•"/>
      <w:lvlJc w:val="left"/>
      <w:pPr>
        <w:ind w:left="10848" w:hanging="361"/>
      </w:pPr>
      <w:rPr>
        <w:rFonts w:hint="default"/>
        <w:lang w:val="en-GB" w:eastAsia="en-GB" w:bidi="en-GB"/>
      </w:rPr>
    </w:lvl>
    <w:lvl w:ilvl="8" w:tplc="F6025434">
      <w:numFmt w:val="bullet"/>
      <w:lvlText w:val="•"/>
      <w:lvlJc w:val="left"/>
      <w:pPr>
        <w:ind w:left="12278" w:hanging="361"/>
      </w:pPr>
      <w:rPr>
        <w:rFonts w:hint="default"/>
        <w:lang w:val="en-GB" w:eastAsia="en-GB" w:bidi="en-GB"/>
      </w:rPr>
    </w:lvl>
  </w:abstractNum>
  <w:abstractNum w:abstractNumId="3" w15:restartNumberingAfterBreak="0">
    <w:nsid w:val="567635A4"/>
    <w:multiLevelType w:val="hybridMultilevel"/>
    <w:tmpl w:val="306C2C8C"/>
    <w:lvl w:ilvl="0" w:tplc="560CA27C">
      <w:numFmt w:val="bullet"/>
      <w:lvlText w:val=""/>
      <w:lvlJc w:val="left"/>
      <w:pPr>
        <w:ind w:left="830" w:hanging="360"/>
      </w:pPr>
      <w:rPr>
        <w:rFonts w:ascii="Symbol" w:eastAsia="Symbol" w:hAnsi="Symbol" w:cs="Symbol" w:hint="default"/>
        <w:w w:val="100"/>
        <w:sz w:val="24"/>
        <w:szCs w:val="24"/>
        <w:lang w:val="en-GB" w:eastAsia="en-GB" w:bidi="en-GB"/>
      </w:rPr>
    </w:lvl>
    <w:lvl w:ilvl="1" w:tplc="106C6FBE">
      <w:numFmt w:val="bullet"/>
      <w:lvlText w:val="•"/>
      <w:lvlJc w:val="left"/>
      <w:pPr>
        <w:ind w:left="2243" w:hanging="360"/>
      </w:pPr>
      <w:rPr>
        <w:rFonts w:hint="default"/>
        <w:lang w:val="en-GB" w:eastAsia="en-GB" w:bidi="en-GB"/>
      </w:rPr>
    </w:lvl>
    <w:lvl w:ilvl="2" w:tplc="6E14797E">
      <w:numFmt w:val="bullet"/>
      <w:lvlText w:val="•"/>
      <w:lvlJc w:val="left"/>
      <w:pPr>
        <w:ind w:left="3646" w:hanging="360"/>
      </w:pPr>
      <w:rPr>
        <w:rFonts w:hint="default"/>
        <w:lang w:val="en-GB" w:eastAsia="en-GB" w:bidi="en-GB"/>
      </w:rPr>
    </w:lvl>
    <w:lvl w:ilvl="3" w:tplc="373A21FE">
      <w:numFmt w:val="bullet"/>
      <w:lvlText w:val="•"/>
      <w:lvlJc w:val="left"/>
      <w:pPr>
        <w:ind w:left="5049" w:hanging="360"/>
      </w:pPr>
      <w:rPr>
        <w:rFonts w:hint="default"/>
        <w:lang w:val="en-GB" w:eastAsia="en-GB" w:bidi="en-GB"/>
      </w:rPr>
    </w:lvl>
    <w:lvl w:ilvl="4" w:tplc="813ECC1E">
      <w:numFmt w:val="bullet"/>
      <w:lvlText w:val="•"/>
      <w:lvlJc w:val="left"/>
      <w:pPr>
        <w:ind w:left="6452" w:hanging="360"/>
      </w:pPr>
      <w:rPr>
        <w:rFonts w:hint="default"/>
        <w:lang w:val="en-GB" w:eastAsia="en-GB" w:bidi="en-GB"/>
      </w:rPr>
    </w:lvl>
    <w:lvl w:ilvl="5" w:tplc="1B700C0C">
      <w:numFmt w:val="bullet"/>
      <w:lvlText w:val="•"/>
      <w:lvlJc w:val="left"/>
      <w:pPr>
        <w:ind w:left="7856" w:hanging="360"/>
      </w:pPr>
      <w:rPr>
        <w:rFonts w:hint="default"/>
        <w:lang w:val="en-GB" w:eastAsia="en-GB" w:bidi="en-GB"/>
      </w:rPr>
    </w:lvl>
    <w:lvl w:ilvl="6" w:tplc="928A5688">
      <w:numFmt w:val="bullet"/>
      <w:lvlText w:val="•"/>
      <w:lvlJc w:val="left"/>
      <w:pPr>
        <w:ind w:left="9259" w:hanging="360"/>
      </w:pPr>
      <w:rPr>
        <w:rFonts w:hint="default"/>
        <w:lang w:val="en-GB" w:eastAsia="en-GB" w:bidi="en-GB"/>
      </w:rPr>
    </w:lvl>
    <w:lvl w:ilvl="7" w:tplc="37D8B506">
      <w:numFmt w:val="bullet"/>
      <w:lvlText w:val="•"/>
      <w:lvlJc w:val="left"/>
      <w:pPr>
        <w:ind w:left="10662" w:hanging="360"/>
      </w:pPr>
      <w:rPr>
        <w:rFonts w:hint="default"/>
        <w:lang w:val="en-GB" w:eastAsia="en-GB" w:bidi="en-GB"/>
      </w:rPr>
    </w:lvl>
    <w:lvl w:ilvl="8" w:tplc="23A6F27A">
      <w:numFmt w:val="bullet"/>
      <w:lvlText w:val="•"/>
      <w:lvlJc w:val="left"/>
      <w:pPr>
        <w:ind w:left="12065" w:hanging="360"/>
      </w:pPr>
      <w:rPr>
        <w:rFonts w:hint="default"/>
        <w:lang w:val="en-GB" w:eastAsia="en-GB" w:bidi="en-GB"/>
      </w:rPr>
    </w:lvl>
  </w:abstractNum>
  <w:abstractNum w:abstractNumId="4" w15:restartNumberingAfterBreak="0">
    <w:nsid w:val="60835B7D"/>
    <w:multiLevelType w:val="hybridMultilevel"/>
    <w:tmpl w:val="29D6581C"/>
    <w:lvl w:ilvl="0" w:tplc="C1E28F8E">
      <w:numFmt w:val="bullet"/>
      <w:lvlText w:val=""/>
      <w:lvlJc w:val="left"/>
      <w:pPr>
        <w:ind w:left="829" w:hanging="360"/>
      </w:pPr>
      <w:rPr>
        <w:rFonts w:ascii="Symbol" w:eastAsia="Symbol" w:hAnsi="Symbol" w:cs="Symbol" w:hint="default"/>
        <w:w w:val="100"/>
        <w:sz w:val="28"/>
        <w:szCs w:val="28"/>
        <w:lang w:val="en-GB" w:eastAsia="en-GB" w:bidi="en-GB"/>
      </w:rPr>
    </w:lvl>
    <w:lvl w:ilvl="1" w:tplc="DC74F4DC">
      <w:numFmt w:val="bullet"/>
      <w:lvlText w:val="•"/>
      <w:lvlJc w:val="left"/>
      <w:pPr>
        <w:ind w:left="1184" w:hanging="360"/>
      </w:pPr>
      <w:rPr>
        <w:rFonts w:hint="default"/>
        <w:lang w:val="en-GB" w:eastAsia="en-GB" w:bidi="en-GB"/>
      </w:rPr>
    </w:lvl>
    <w:lvl w:ilvl="2" w:tplc="679E938E">
      <w:numFmt w:val="bullet"/>
      <w:lvlText w:val="•"/>
      <w:lvlJc w:val="left"/>
      <w:pPr>
        <w:ind w:left="1548" w:hanging="360"/>
      </w:pPr>
      <w:rPr>
        <w:rFonts w:hint="default"/>
        <w:lang w:val="en-GB" w:eastAsia="en-GB" w:bidi="en-GB"/>
      </w:rPr>
    </w:lvl>
    <w:lvl w:ilvl="3" w:tplc="1A7EC988">
      <w:numFmt w:val="bullet"/>
      <w:lvlText w:val="•"/>
      <w:lvlJc w:val="left"/>
      <w:pPr>
        <w:ind w:left="1912" w:hanging="360"/>
      </w:pPr>
      <w:rPr>
        <w:rFonts w:hint="default"/>
        <w:lang w:val="en-GB" w:eastAsia="en-GB" w:bidi="en-GB"/>
      </w:rPr>
    </w:lvl>
    <w:lvl w:ilvl="4" w:tplc="0614695C">
      <w:numFmt w:val="bullet"/>
      <w:lvlText w:val="•"/>
      <w:lvlJc w:val="left"/>
      <w:pPr>
        <w:ind w:left="2277" w:hanging="360"/>
      </w:pPr>
      <w:rPr>
        <w:rFonts w:hint="default"/>
        <w:lang w:val="en-GB" w:eastAsia="en-GB" w:bidi="en-GB"/>
      </w:rPr>
    </w:lvl>
    <w:lvl w:ilvl="5" w:tplc="6F92BD76">
      <w:numFmt w:val="bullet"/>
      <w:lvlText w:val="•"/>
      <w:lvlJc w:val="left"/>
      <w:pPr>
        <w:ind w:left="2641" w:hanging="360"/>
      </w:pPr>
      <w:rPr>
        <w:rFonts w:hint="default"/>
        <w:lang w:val="en-GB" w:eastAsia="en-GB" w:bidi="en-GB"/>
      </w:rPr>
    </w:lvl>
    <w:lvl w:ilvl="6" w:tplc="044AEDF0">
      <w:numFmt w:val="bullet"/>
      <w:lvlText w:val="•"/>
      <w:lvlJc w:val="left"/>
      <w:pPr>
        <w:ind w:left="3005" w:hanging="360"/>
      </w:pPr>
      <w:rPr>
        <w:rFonts w:hint="default"/>
        <w:lang w:val="en-GB" w:eastAsia="en-GB" w:bidi="en-GB"/>
      </w:rPr>
    </w:lvl>
    <w:lvl w:ilvl="7" w:tplc="D83CFE90">
      <w:numFmt w:val="bullet"/>
      <w:lvlText w:val="•"/>
      <w:lvlJc w:val="left"/>
      <w:pPr>
        <w:ind w:left="3370" w:hanging="360"/>
      </w:pPr>
      <w:rPr>
        <w:rFonts w:hint="default"/>
        <w:lang w:val="en-GB" w:eastAsia="en-GB" w:bidi="en-GB"/>
      </w:rPr>
    </w:lvl>
    <w:lvl w:ilvl="8" w:tplc="988CCC40">
      <w:numFmt w:val="bullet"/>
      <w:lvlText w:val="•"/>
      <w:lvlJc w:val="left"/>
      <w:pPr>
        <w:ind w:left="3734" w:hanging="360"/>
      </w:pPr>
      <w:rPr>
        <w:rFonts w:hint="default"/>
        <w:lang w:val="en-GB" w:eastAsia="en-GB" w:bidi="en-GB"/>
      </w:rPr>
    </w:lvl>
  </w:abstractNum>
  <w:abstractNum w:abstractNumId="5" w15:restartNumberingAfterBreak="0">
    <w:nsid w:val="65D0165A"/>
    <w:multiLevelType w:val="hybridMultilevel"/>
    <w:tmpl w:val="4FCCCD58"/>
    <w:lvl w:ilvl="0" w:tplc="C1E28F8E">
      <w:numFmt w:val="bullet"/>
      <w:lvlText w:val=""/>
      <w:lvlJc w:val="left"/>
      <w:pPr>
        <w:ind w:left="829" w:hanging="360"/>
      </w:pPr>
      <w:rPr>
        <w:rFonts w:ascii="Symbol" w:eastAsia="Symbol" w:hAnsi="Symbol" w:cs="Symbol" w:hint="default"/>
        <w:w w:val="100"/>
        <w:sz w:val="28"/>
        <w:szCs w:val="28"/>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EA3F56"/>
    <w:multiLevelType w:val="hybridMultilevel"/>
    <w:tmpl w:val="05561194"/>
    <w:lvl w:ilvl="0" w:tplc="BD12E1CC">
      <w:numFmt w:val="bullet"/>
      <w:lvlText w:val=""/>
      <w:lvlJc w:val="left"/>
      <w:pPr>
        <w:ind w:left="823" w:hanging="356"/>
      </w:pPr>
      <w:rPr>
        <w:rFonts w:hint="default"/>
        <w:w w:val="100"/>
        <w:lang w:val="en-GB" w:eastAsia="en-GB" w:bidi="en-GB"/>
      </w:rPr>
    </w:lvl>
    <w:lvl w:ilvl="1" w:tplc="0902E0E0">
      <w:numFmt w:val="bullet"/>
      <w:lvlText w:val="•"/>
      <w:lvlJc w:val="left"/>
      <w:pPr>
        <w:ind w:left="2225" w:hanging="356"/>
      </w:pPr>
      <w:rPr>
        <w:rFonts w:hint="default"/>
        <w:lang w:val="en-GB" w:eastAsia="en-GB" w:bidi="en-GB"/>
      </w:rPr>
    </w:lvl>
    <w:lvl w:ilvl="2" w:tplc="919A2B8E">
      <w:numFmt w:val="bullet"/>
      <w:lvlText w:val="•"/>
      <w:lvlJc w:val="left"/>
      <w:pPr>
        <w:ind w:left="3630" w:hanging="356"/>
      </w:pPr>
      <w:rPr>
        <w:rFonts w:hint="default"/>
        <w:lang w:val="en-GB" w:eastAsia="en-GB" w:bidi="en-GB"/>
      </w:rPr>
    </w:lvl>
    <w:lvl w:ilvl="3" w:tplc="73E6AD26">
      <w:numFmt w:val="bullet"/>
      <w:lvlText w:val="•"/>
      <w:lvlJc w:val="left"/>
      <w:pPr>
        <w:ind w:left="5035" w:hanging="356"/>
      </w:pPr>
      <w:rPr>
        <w:rFonts w:hint="default"/>
        <w:lang w:val="en-GB" w:eastAsia="en-GB" w:bidi="en-GB"/>
      </w:rPr>
    </w:lvl>
    <w:lvl w:ilvl="4" w:tplc="1B88722C">
      <w:numFmt w:val="bullet"/>
      <w:lvlText w:val="•"/>
      <w:lvlJc w:val="left"/>
      <w:pPr>
        <w:ind w:left="6440" w:hanging="356"/>
      </w:pPr>
      <w:rPr>
        <w:rFonts w:hint="default"/>
        <w:lang w:val="en-GB" w:eastAsia="en-GB" w:bidi="en-GB"/>
      </w:rPr>
    </w:lvl>
    <w:lvl w:ilvl="5" w:tplc="6C3C9874">
      <w:numFmt w:val="bullet"/>
      <w:lvlText w:val="•"/>
      <w:lvlJc w:val="left"/>
      <w:pPr>
        <w:ind w:left="7846" w:hanging="356"/>
      </w:pPr>
      <w:rPr>
        <w:rFonts w:hint="default"/>
        <w:lang w:val="en-GB" w:eastAsia="en-GB" w:bidi="en-GB"/>
      </w:rPr>
    </w:lvl>
    <w:lvl w:ilvl="6" w:tplc="347E1FA0">
      <w:numFmt w:val="bullet"/>
      <w:lvlText w:val="•"/>
      <w:lvlJc w:val="left"/>
      <w:pPr>
        <w:ind w:left="9251" w:hanging="356"/>
      </w:pPr>
      <w:rPr>
        <w:rFonts w:hint="default"/>
        <w:lang w:val="en-GB" w:eastAsia="en-GB" w:bidi="en-GB"/>
      </w:rPr>
    </w:lvl>
    <w:lvl w:ilvl="7" w:tplc="8378F62C">
      <w:numFmt w:val="bullet"/>
      <w:lvlText w:val="•"/>
      <w:lvlJc w:val="left"/>
      <w:pPr>
        <w:ind w:left="10656" w:hanging="356"/>
      </w:pPr>
      <w:rPr>
        <w:rFonts w:hint="default"/>
        <w:lang w:val="en-GB" w:eastAsia="en-GB" w:bidi="en-GB"/>
      </w:rPr>
    </w:lvl>
    <w:lvl w:ilvl="8" w:tplc="95382CEA">
      <w:numFmt w:val="bullet"/>
      <w:lvlText w:val="•"/>
      <w:lvlJc w:val="left"/>
      <w:pPr>
        <w:ind w:left="12061" w:hanging="356"/>
      </w:pPr>
      <w:rPr>
        <w:rFonts w:hint="default"/>
        <w:lang w:val="en-GB" w:eastAsia="en-GB" w:bidi="en-GB"/>
      </w:rPr>
    </w:lvl>
  </w:abstractNum>
  <w:abstractNum w:abstractNumId="7" w15:restartNumberingAfterBreak="0">
    <w:nsid w:val="77C82E21"/>
    <w:multiLevelType w:val="hybridMultilevel"/>
    <w:tmpl w:val="B07726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D6976CE"/>
    <w:multiLevelType w:val="hybridMultilevel"/>
    <w:tmpl w:val="8D7D61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6"/>
  </w:num>
  <w:num w:numId="3">
    <w:abstractNumId w:val="2"/>
  </w:num>
  <w:num w:numId="4">
    <w:abstractNumId w:val="4"/>
  </w:num>
  <w:num w:numId="5">
    <w:abstractNumId w:val="1"/>
  </w:num>
  <w:num w:numId="6">
    <w:abstractNumId w:val="0"/>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C0"/>
    <w:rsid w:val="0002370D"/>
    <w:rsid w:val="000674E8"/>
    <w:rsid w:val="00073F90"/>
    <w:rsid w:val="000963EC"/>
    <w:rsid w:val="000C252E"/>
    <w:rsid w:val="00100DD1"/>
    <w:rsid w:val="00123CC3"/>
    <w:rsid w:val="00134D80"/>
    <w:rsid w:val="00171A8B"/>
    <w:rsid w:val="00183A02"/>
    <w:rsid w:val="001D5254"/>
    <w:rsid w:val="002132D0"/>
    <w:rsid w:val="00264509"/>
    <w:rsid w:val="00281FAE"/>
    <w:rsid w:val="002A383F"/>
    <w:rsid w:val="002C7F16"/>
    <w:rsid w:val="002E29BD"/>
    <w:rsid w:val="00321E3A"/>
    <w:rsid w:val="00346554"/>
    <w:rsid w:val="003B3D8F"/>
    <w:rsid w:val="003E4D8F"/>
    <w:rsid w:val="00447B23"/>
    <w:rsid w:val="004A5E97"/>
    <w:rsid w:val="004C4946"/>
    <w:rsid w:val="004D2F21"/>
    <w:rsid w:val="004F28D1"/>
    <w:rsid w:val="00694998"/>
    <w:rsid w:val="006A73B1"/>
    <w:rsid w:val="006D7E60"/>
    <w:rsid w:val="006E769C"/>
    <w:rsid w:val="007004CB"/>
    <w:rsid w:val="0072421C"/>
    <w:rsid w:val="00744A9F"/>
    <w:rsid w:val="00780925"/>
    <w:rsid w:val="007A7643"/>
    <w:rsid w:val="00827FFD"/>
    <w:rsid w:val="009463B8"/>
    <w:rsid w:val="00997739"/>
    <w:rsid w:val="009F4AC0"/>
    <w:rsid w:val="00A17777"/>
    <w:rsid w:val="00AA0015"/>
    <w:rsid w:val="00AA549F"/>
    <w:rsid w:val="00AC0E51"/>
    <w:rsid w:val="00AD1458"/>
    <w:rsid w:val="00B41878"/>
    <w:rsid w:val="00C323E4"/>
    <w:rsid w:val="00C32A53"/>
    <w:rsid w:val="00C5668D"/>
    <w:rsid w:val="00C631C3"/>
    <w:rsid w:val="00CB5309"/>
    <w:rsid w:val="00CD3CF4"/>
    <w:rsid w:val="00CF41E7"/>
    <w:rsid w:val="00DD5F61"/>
    <w:rsid w:val="00DD70E7"/>
    <w:rsid w:val="00EA414F"/>
    <w:rsid w:val="00EC7CF7"/>
    <w:rsid w:val="00EF1BB9"/>
    <w:rsid w:val="00F35021"/>
    <w:rsid w:val="00F5412E"/>
    <w:rsid w:val="00FA62CA"/>
    <w:rsid w:val="00FD3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F4FDA"/>
  <w15:docId w15:val="{0F56A446-9933-4D0A-91B2-ADDFDFBE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8"/>
      <w:szCs w:val="28"/>
    </w:rPr>
  </w:style>
  <w:style w:type="paragraph" w:styleId="ListParagraph">
    <w:name w:val="List Paragraph"/>
    <w:basedOn w:val="Normal"/>
    <w:uiPriority w:val="1"/>
    <w:qFormat/>
    <w:pPr>
      <w:spacing w:before="141"/>
      <w:ind w:left="833" w:hanging="362"/>
    </w:pPr>
    <w:rPr>
      <w:rFonts w:ascii="Calibri" w:eastAsia="Calibri" w:hAnsi="Calibri" w:cs="Calibri"/>
    </w:rPr>
  </w:style>
  <w:style w:type="paragraph" w:customStyle="1" w:styleId="TableParagraph">
    <w:name w:val="Table Paragraph"/>
    <w:basedOn w:val="Normal"/>
    <w:uiPriority w:val="1"/>
    <w:qFormat/>
  </w:style>
  <w:style w:type="paragraph" w:customStyle="1" w:styleId="Default">
    <w:name w:val="Default"/>
    <w:rsid w:val="00AC0E51"/>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quality@edinburghcollege.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0F56ECE41134984F3B8180BFE4449" ma:contentTypeVersion="16" ma:contentTypeDescription="Create a new document." ma:contentTypeScope="" ma:versionID="dd332e66b0f8762a08357e977f8cb683">
  <xsd:schema xmlns:xsd="http://www.w3.org/2001/XMLSchema" xmlns:xs="http://www.w3.org/2001/XMLSchema" xmlns:p="http://schemas.microsoft.com/office/2006/metadata/properties" xmlns:ns3="b64e5800-79ef-404e-ae0f-2769dfe91c1e" xmlns:ns4="4babdd36-4016-4489-ad5f-14df8cd2a91d" targetNamespace="http://schemas.microsoft.com/office/2006/metadata/properties" ma:root="true" ma:fieldsID="9a52d00d9d1f23c1930220e023a4af56" ns3:_="" ns4:_="">
    <xsd:import namespace="b64e5800-79ef-404e-ae0f-2769dfe91c1e"/>
    <xsd:import namespace="4babdd36-4016-4489-ad5f-14df8cd2a9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e5800-79ef-404e-ae0f-2769dfe91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bdd36-4016-4489-ad5f-14df8cd2a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64e5800-79ef-404e-ae0f-2769dfe91c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BB218-5D1E-415D-80D7-81E59791E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e5800-79ef-404e-ae0f-2769dfe91c1e"/>
    <ds:schemaRef ds:uri="4babdd36-4016-4489-ad5f-14df8cd2a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C16A0-CBE6-40D8-A0B2-DC213978B41E}">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babdd36-4016-4489-ad5f-14df8cd2a91d"/>
    <ds:schemaRef ds:uri="b64e5800-79ef-404e-ae0f-2769dfe91c1e"/>
    <ds:schemaRef ds:uri="http://www.w3.org/XML/1998/namespace"/>
    <ds:schemaRef ds:uri="http://purl.org/dc/dcmitype/"/>
  </ds:schemaRefs>
</ds:datastoreItem>
</file>

<file path=customXml/itemProps3.xml><?xml version="1.0" encoding="utf-8"?>
<ds:datastoreItem xmlns:ds="http://schemas.openxmlformats.org/officeDocument/2006/customXml" ds:itemID="{90901372-FBEF-437E-8DCD-EB9B70C4C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Inglis</dc:creator>
  <cp:keywords/>
  <dc:description/>
  <cp:lastModifiedBy>Nina Munday</cp:lastModifiedBy>
  <cp:revision>3</cp:revision>
  <dcterms:created xsi:type="dcterms:W3CDTF">2024-04-19T13:43:00Z</dcterms:created>
  <dcterms:modified xsi:type="dcterms:W3CDTF">2024-04-22T13:32:00Z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2020-07-23T00:00:00Z</vt:filetime>
  </property>
  <property fmtid="{D5CDD505-2E9C-101B-9397-08002B2CF9AE}" pid="3" name="Creator">
    <vt:lpwstr>Microsoft® Word 2019</vt:lpwstr>
  </property>
  <property fmtid="{D5CDD505-2E9C-101B-9397-08002B2CF9AE}" pid="4" name="LastSaved">
    <vt:filetime>2021-09-16T00:00:00Z</vt:filetime>
  </property>
  <property fmtid="{D5CDD505-2E9C-101B-9397-08002B2CF9AE}" pid="5" name="ContentTypeId">
    <vt:lpwstr>0x010100A880F56ECE41134984F3B8180BFE4449</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