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39CA6C2E" wp14:editId="39CA6C2F">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14:paraId="39CA6B2F" w14:textId="77777777"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14:paraId="39CA6B30" w14:textId="77777777" w:rsidR="002B33E5" w:rsidRPr="002B33E5" w:rsidRDefault="002B33E5" w:rsidP="0044724F">
      <w:pPr>
        <w:spacing w:after="0"/>
        <w:rPr>
          <w:sz w:val="16"/>
          <w:szCs w:val="16"/>
        </w:rPr>
      </w:pPr>
    </w:p>
    <w:p w14:paraId="39CA6B31" w14:textId="77777777" w:rsidR="0044724F" w:rsidRDefault="0044724F" w:rsidP="0044724F">
      <w:pPr>
        <w:spacing w:after="0"/>
      </w:pPr>
    </w:p>
    <w:p w14:paraId="39CA6B32" w14:textId="77777777" w:rsidR="005E715E" w:rsidRDefault="005E715E" w:rsidP="005E715E">
      <w:pPr>
        <w:spacing w:after="0" w:line="240" w:lineRule="auto"/>
      </w:pPr>
    </w:p>
    <w:p w14:paraId="39CA6B33" w14:textId="77777777" w:rsidR="00590127" w:rsidRPr="002B33E5" w:rsidRDefault="00590127" w:rsidP="005E715E">
      <w:pPr>
        <w:spacing w:after="0" w:line="240" w:lineRule="auto"/>
      </w:pPr>
    </w:p>
    <w:p w14:paraId="39CA6B34" w14:textId="77777777"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14:paraId="39CA6B3B" w14:textId="77777777" w:rsidTr="00B94D76">
        <w:trPr>
          <w:trHeight w:val="629"/>
        </w:trPr>
        <w:tc>
          <w:tcPr>
            <w:tcW w:w="1247" w:type="pct"/>
            <w:shd w:val="clear" w:color="auto" w:fill="FDE9D9" w:themeFill="accent6" w:themeFillTint="33"/>
            <w:vAlign w:val="center"/>
          </w:tcPr>
          <w:p w14:paraId="39CA6B35" w14:textId="77777777"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14:paraId="39CA6B36" w14:textId="6CFE1962" w:rsidR="0061726E" w:rsidRDefault="00707D4C" w:rsidP="00DE6D25">
            <w:r>
              <w:t xml:space="preserve">Gender Based Violence Policy </w:t>
            </w:r>
          </w:p>
        </w:tc>
        <w:tc>
          <w:tcPr>
            <w:tcW w:w="664" w:type="pct"/>
            <w:vMerge w:val="restart"/>
            <w:shd w:val="clear" w:color="auto" w:fill="FDE9D9" w:themeFill="accent6" w:themeFillTint="33"/>
            <w:vAlign w:val="center"/>
          </w:tcPr>
          <w:p w14:paraId="39CA6B37" w14:textId="77777777" w:rsidR="0061726E" w:rsidRDefault="0061726E" w:rsidP="0052493B">
            <w:r>
              <w:t>EIA Team and Lead Member of Staff</w:t>
            </w:r>
          </w:p>
        </w:tc>
        <w:tc>
          <w:tcPr>
            <w:tcW w:w="1231" w:type="pct"/>
            <w:vMerge w:val="restart"/>
          </w:tcPr>
          <w:p w14:paraId="39CA6B38" w14:textId="45E31E22" w:rsidR="0061726E" w:rsidRPr="00656F1C" w:rsidRDefault="00707D4C" w:rsidP="003E723B">
            <w:r>
              <w:t>Kara Tait</w:t>
            </w:r>
          </w:p>
        </w:tc>
        <w:tc>
          <w:tcPr>
            <w:tcW w:w="556" w:type="pct"/>
            <w:vMerge w:val="restart"/>
            <w:shd w:val="clear" w:color="auto" w:fill="FDE9D9" w:themeFill="accent6" w:themeFillTint="33"/>
          </w:tcPr>
          <w:p w14:paraId="39CA6B39" w14:textId="77777777" w:rsidR="0061726E" w:rsidRDefault="0061726E" w:rsidP="003E723B">
            <w:pPr>
              <w:rPr>
                <w:sz w:val="20"/>
                <w:szCs w:val="20"/>
              </w:rPr>
            </w:pPr>
            <w:r w:rsidRPr="0052493B">
              <w:t>Date</w:t>
            </w:r>
          </w:p>
        </w:tc>
        <w:tc>
          <w:tcPr>
            <w:tcW w:w="425" w:type="pct"/>
            <w:vMerge w:val="restart"/>
            <w:shd w:val="clear" w:color="auto" w:fill="FFFFFF" w:themeFill="background1"/>
          </w:tcPr>
          <w:p w14:paraId="39CA6B3A" w14:textId="77692E95" w:rsidR="0027399A" w:rsidRPr="0052493B" w:rsidRDefault="00707D4C" w:rsidP="0027399A">
            <w:r>
              <w:t>30/09/20</w:t>
            </w:r>
          </w:p>
        </w:tc>
      </w:tr>
      <w:tr w:rsidR="0061726E" w14:paraId="39CA6B43" w14:textId="77777777" w:rsidTr="00B94D76">
        <w:trPr>
          <w:trHeight w:val="276"/>
        </w:trPr>
        <w:tc>
          <w:tcPr>
            <w:tcW w:w="1247" w:type="pct"/>
            <w:vMerge w:val="restart"/>
            <w:shd w:val="clear" w:color="auto" w:fill="FDE9D9" w:themeFill="accent6" w:themeFillTint="33"/>
            <w:vAlign w:val="center"/>
          </w:tcPr>
          <w:p w14:paraId="39CA6B3C" w14:textId="77777777" w:rsidR="0061726E" w:rsidRDefault="0061726E" w:rsidP="001C5461">
            <w:r>
              <w:t>Type of Policy/Practice</w:t>
            </w:r>
            <w:r w:rsidR="00FC50F2">
              <w:t>/</w:t>
            </w:r>
            <w:r w:rsidR="00D605DD">
              <w:t xml:space="preserve"> (tick box)</w:t>
            </w:r>
          </w:p>
        </w:tc>
        <w:tc>
          <w:tcPr>
            <w:tcW w:w="438" w:type="pct"/>
            <w:vAlign w:val="center"/>
          </w:tcPr>
          <w:p w14:paraId="39CA6B3D" w14:textId="77777777" w:rsidR="0061726E" w:rsidRDefault="0061726E" w:rsidP="0061726E">
            <w:r>
              <w:t xml:space="preserve">New    </w:t>
            </w:r>
          </w:p>
        </w:tc>
        <w:tc>
          <w:tcPr>
            <w:tcW w:w="439" w:type="pct"/>
            <w:vAlign w:val="center"/>
          </w:tcPr>
          <w:p w14:paraId="39CA6B3E" w14:textId="6B20AF26" w:rsidR="0061726E" w:rsidRDefault="00707D4C" w:rsidP="0061726E">
            <w:r>
              <w:t>x</w:t>
            </w:r>
          </w:p>
        </w:tc>
        <w:tc>
          <w:tcPr>
            <w:tcW w:w="664" w:type="pct"/>
            <w:vMerge/>
            <w:shd w:val="clear" w:color="auto" w:fill="FDE9D9" w:themeFill="accent6" w:themeFillTint="33"/>
            <w:vAlign w:val="center"/>
          </w:tcPr>
          <w:p w14:paraId="39CA6B3F" w14:textId="77777777" w:rsidR="0061726E" w:rsidRDefault="0061726E" w:rsidP="001C5461"/>
        </w:tc>
        <w:tc>
          <w:tcPr>
            <w:tcW w:w="1231" w:type="pct"/>
            <w:vMerge/>
          </w:tcPr>
          <w:p w14:paraId="39CA6B40" w14:textId="77777777" w:rsidR="0061726E" w:rsidRDefault="0061726E" w:rsidP="003E723B">
            <w:pPr>
              <w:rPr>
                <w:b/>
                <w:smallCaps/>
              </w:rPr>
            </w:pPr>
          </w:p>
        </w:tc>
        <w:tc>
          <w:tcPr>
            <w:tcW w:w="556" w:type="pct"/>
            <w:vMerge/>
          </w:tcPr>
          <w:p w14:paraId="39CA6B41" w14:textId="77777777" w:rsidR="0061726E" w:rsidRDefault="0061726E" w:rsidP="003E723B">
            <w:pPr>
              <w:rPr>
                <w:sz w:val="20"/>
                <w:szCs w:val="20"/>
              </w:rPr>
            </w:pPr>
          </w:p>
        </w:tc>
        <w:tc>
          <w:tcPr>
            <w:tcW w:w="425" w:type="pct"/>
            <w:vMerge/>
            <w:shd w:val="clear" w:color="auto" w:fill="FFFFFF" w:themeFill="background1"/>
          </w:tcPr>
          <w:p w14:paraId="39CA6B42" w14:textId="77777777" w:rsidR="0061726E" w:rsidRDefault="0061726E" w:rsidP="003E723B">
            <w:pPr>
              <w:rPr>
                <w:sz w:val="20"/>
                <w:szCs w:val="20"/>
              </w:rPr>
            </w:pPr>
          </w:p>
        </w:tc>
      </w:tr>
      <w:tr w:rsidR="0061726E" w14:paraId="39CA6B4B" w14:textId="77777777" w:rsidTr="00B94D76">
        <w:trPr>
          <w:trHeight w:val="276"/>
        </w:trPr>
        <w:tc>
          <w:tcPr>
            <w:tcW w:w="1247" w:type="pct"/>
            <w:vMerge/>
            <w:shd w:val="clear" w:color="auto" w:fill="FDE9D9" w:themeFill="accent6" w:themeFillTint="33"/>
            <w:vAlign w:val="center"/>
          </w:tcPr>
          <w:p w14:paraId="39CA6B44" w14:textId="77777777" w:rsidR="0061726E" w:rsidRDefault="0061726E" w:rsidP="001C5461"/>
        </w:tc>
        <w:tc>
          <w:tcPr>
            <w:tcW w:w="438" w:type="pct"/>
            <w:vAlign w:val="center"/>
          </w:tcPr>
          <w:p w14:paraId="39CA6B45" w14:textId="77777777" w:rsidR="0061726E" w:rsidRDefault="0061726E" w:rsidP="001C5461">
            <w:r>
              <w:t>Existing</w:t>
            </w:r>
          </w:p>
        </w:tc>
        <w:tc>
          <w:tcPr>
            <w:tcW w:w="439" w:type="pct"/>
            <w:vAlign w:val="center"/>
          </w:tcPr>
          <w:p w14:paraId="39CA6B46" w14:textId="77777777" w:rsidR="0061726E" w:rsidRDefault="0061726E" w:rsidP="001C5461"/>
        </w:tc>
        <w:tc>
          <w:tcPr>
            <w:tcW w:w="664" w:type="pct"/>
            <w:vMerge/>
            <w:shd w:val="clear" w:color="auto" w:fill="FDE9D9" w:themeFill="accent6" w:themeFillTint="33"/>
            <w:vAlign w:val="center"/>
          </w:tcPr>
          <w:p w14:paraId="39CA6B47" w14:textId="77777777" w:rsidR="0061726E" w:rsidRDefault="0061726E" w:rsidP="001C5461"/>
        </w:tc>
        <w:tc>
          <w:tcPr>
            <w:tcW w:w="1231" w:type="pct"/>
            <w:vMerge/>
          </w:tcPr>
          <w:p w14:paraId="39CA6B48" w14:textId="77777777" w:rsidR="0061726E" w:rsidRDefault="0061726E" w:rsidP="003E723B">
            <w:pPr>
              <w:rPr>
                <w:b/>
                <w:smallCaps/>
              </w:rPr>
            </w:pPr>
          </w:p>
        </w:tc>
        <w:tc>
          <w:tcPr>
            <w:tcW w:w="556" w:type="pct"/>
            <w:vMerge/>
          </w:tcPr>
          <w:p w14:paraId="39CA6B49" w14:textId="77777777" w:rsidR="0061726E" w:rsidRDefault="0061726E" w:rsidP="003E723B">
            <w:pPr>
              <w:rPr>
                <w:sz w:val="20"/>
                <w:szCs w:val="20"/>
              </w:rPr>
            </w:pPr>
          </w:p>
        </w:tc>
        <w:tc>
          <w:tcPr>
            <w:tcW w:w="425" w:type="pct"/>
            <w:vMerge/>
            <w:shd w:val="clear" w:color="auto" w:fill="FFFFFF" w:themeFill="background1"/>
          </w:tcPr>
          <w:p w14:paraId="39CA6B4A" w14:textId="77777777" w:rsidR="0061726E" w:rsidRDefault="0061726E" w:rsidP="003E723B">
            <w:pPr>
              <w:rPr>
                <w:sz w:val="20"/>
                <w:szCs w:val="20"/>
              </w:rPr>
            </w:pPr>
          </w:p>
        </w:tc>
      </w:tr>
      <w:tr w:rsidR="0061726E" w14:paraId="39CA6B53" w14:textId="77777777" w:rsidTr="00B94D76">
        <w:trPr>
          <w:trHeight w:val="276"/>
        </w:trPr>
        <w:tc>
          <w:tcPr>
            <w:tcW w:w="1247" w:type="pct"/>
            <w:vMerge/>
            <w:shd w:val="clear" w:color="auto" w:fill="FDE9D9" w:themeFill="accent6" w:themeFillTint="33"/>
            <w:vAlign w:val="center"/>
          </w:tcPr>
          <w:p w14:paraId="39CA6B4C" w14:textId="77777777" w:rsidR="0061726E" w:rsidRDefault="0061726E" w:rsidP="001C5461"/>
        </w:tc>
        <w:tc>
          <w:tcPr>
            <w:tcW w:w="438" w:type="pct"/>
            <w:vAlign w:val="center"/>
          </w:tcPr>
          <w:p w14:paraId="39CA6B4D" w14:textId="77777777" w:rsidR="0061726E" w:rsidRDefault="0061726E" w:rsidP="001C5461">
            <w:r>
              <w:t>Revised</w:t>
            </w:r>
          </w:p>
        </w:tc>
        <w:tc>
          <w:tcPr>
            <w:tcW w:w="439" w:type="pct"/>
            <w:vAlign w:val="center"/>
          </w:tcPr>
          <w:p w14:paraId="39CA6B4E" w14:textId="77777777" w:rsidR="0061726E" w:rsidRDefault="0061726E" w:rsidP="001C5461"/>
        </w:tc>
        <w:tc>
          <w:tcPr>
            <w:tcW w:w="664" w:type="pct"/>
            <w:vMerge/>
            <w:shd w:val="clear" w:color="auto" w:fill="FDE9D9" w:themeFill="accent6" w:themeFillTint="33"/>
            <w:vAlign w:val="center"/>
          </w:tcPr>
          <w:p w14:paraId="39CA6B4F" w14:textId="77777777" w:rsidR="0061726E" w:rsidRDefault="0061726E" w:rsidP="001C5461"/>
        </w:tc>
        <w:tc>
          <w:tcPr>
            <w:tcW w:w="1231" w:type="pct"/>
            <w:vMerge/>
          </w:tcPr>
          <w:p w14:paraId="39CA6B50" w14:textId="77777777" w:rsidR="0061726E" w:rsidRDefault="0061726E" w:rsidP="003E723B">
            <w:pPr>
              <w:rPr>
                <w:b/>
                <w:smallCaps/>
              </w:rPr>
            </w:pPr>
          </w:p>
        </w:tc>
        <w:tc>
          <w:tcPr>
            <w:tcW w:w="556" w:type="pct"/>
            <w:vMerge/>
          </w:tcPr>
          <w:p w14:paraId="39CA6B51" w14:textId="77777777" w:rsidR="0061726E" w:rsidRDefault="0061726E" w:rsidP="003E723B">
            <w:pPr>
              <w:rPr>
                <w:sz w:val="20"/>
                <w:szCs w:val="20"/>
              </w:rPr>
            </w:pPr>
          </w:p>
        </w:tc>
        <w:tc>
          <w:tcPr>
            <w:tcW w:w="425" w:type="pct"/>
            <w:vMerge/>
            <w:shd w:val="clear" w:color="auto" w:fill="FFFFFF" w:themeFill="background1"/>
          </w:tcPr>
          <w:p w14:paraId="39CA6B52" w14:textId="77777777" w:rsidR="0061726E" w:rsidRDefault="0061726E" w:rsidP="003E723B">
            <w:pPr>
              <w:rPr>
                <w:sz w:val="20"/>
                <w:szCs w:val="20"/>
              </w:rPr>
            </w:pPr>
          </w:p>
        </w:tc>
      </w:tr>
    </w:tbl>
    <w:p w14:paraId="39CA6B54" w14:textId="77777777"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14:paraId="39CA6B58" w14:textId="77777777" w:rsidTr="00A53233">
        <w:trPr>
          <w:gridBefore w:val="1"/>
          <w:wBefore w:w="10" w:type="dxa"/>
          <w:trHeight w:val="323"/>
        </w:trPr>
        <w:tc>
          <w:tcPr>
            <w:tcW w:w="14854" w:type="dxa"/>
            <w:gridSpan w:val="2"/>
            <w:tcBorders>
              <w:bottom w:val="single" w:sz="4" w:space="0" w:color="auto"/>
            </w:tcBorders>
            <w:shd w:val="clear" w:color="auto" w:fill="auto"/>
          </w:tcPr>
          <w:p w14:paraId="39CA6B55" w14:textId="77777777" w:rsidR="001C5461" w:rsidRDefault="001C5461" w:rsidP="0044724F">
            <w:pPr>
              <w:spacing w:before="40"/>
              <w:rPr>
                <w:b/>
              </w:rPr>
            </w:pPr>
          </w:p>
          <w:p w14:paraId="39CA6B56" w14:textId="77777777"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14:paraId="39CA6B57" w14:textId="77777777" w:rsidR="001C5461" w:rsidRPr="00AF4FFA" w:rsidRDefault="001C5461" w:rsidP="0044724F">
            <w:pPr>
              <w:spacing w:before="40"/>
              <w:rPr>
                <w:b/>
                <w:color w:val="FFFFFF" w:themeColor="background1"/>
                <w:sz w:val="20"/>
                <w:szCs w:val="20"/>
              </w:rPr>
            </w:pPr>
          </w:p>
        </w:tc>
      </w:tr>
      <w:tr w:rsidR="00C81A1C" w14:paraId="39CA6B5C" w14:textId="77777777"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14:paraId="39CA6B5A" w14:textId="77777777"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14:paraId="0B33986B" w14:textId="77777777" w:rsidR="007A1C03" w:rsidRDefault="007A1C03" w:rsidP="003E723B">
            <w:pPr>
              <w:spacing w:before="40"/>
            </w:pPr>
            <w:r>
              <w:t xml:space="preserve">Gender based Violence policy for students to ensure they are safety and supported when attending Edinburgh College. </w:t>
            </w:r>
          </w:p>
          <w:p w14:paraId="05F88BCE" w14:textId="77777777" w:rsidR="007A1C03" w:rsidRDefault="007A1C03" w:rsidP="003E723B">
            <w:pPr>
              <w:spacing w:before="40"/>
            </w:pPr>
          </w:p>
          <w:p w14:paraId="39CA6B5B" w14:textId="5104CE47" w:rsidR="00C81A1C" w:rsidRPr="00B62096" w:rsidRDefault="007A1C03" w:rsidP="003E723B">
            <w:pPr>
              <w:spacing w:before="40"/>
            </w:pPr>
            <w:r>
              <w:t xml:space="preserve">This policy will be updated inline with the college procedures for updating polices.  </w:t>
            </w:r>
            <w:r w:rsidR="00DE4D25">
              <w:t xml:space="preserve"> </w:t>
            </w:r>
          </w:p>
        </w:tc>
      </w:tr>
      <w:tr w:rsidR="00C81A1C" w14:paraId="39CA6B60" w14:textId="77777777"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Default="009A7D81" w:rsidP="001C5461">
            <w:pPr>
              <w:spacing w:before="40"/>
            </w:pPr>
            <w:r>
              <w:t>Who will be affected?</w:t>
            </w:r>
            <w:r w:rsidR="005C2CD1" w:rsidRPr="00C47DFD">
              <w:t xml:space="preserve"> </w:t>
            </w:r>
          </w:p>
          <w:p w14:paraId="39CA6B5E" w14:textId="77777777"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14:paraId="39CA6B5F" w14:textId="58B017E5" w:rsidR="00C81A1C" w:rsidRPr="00B62096" w:rsidRDefault="007A1C03" w:rsidP="003E723B">
            <w:pPr>
              <w:spacing w:before="40"/>
            </w:pPr>
            <w:r>
              <w:t xml:space="preserve">Students studying at Edinburgh College. </w:t>
            </w:r>
          </w:p>
        </w:tc>
      </w:tr>
      <w:tr w:rsidR="00C81A1C" w14:paraId="39CA6B64" w14:textId="77777777"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14:paraId="39CA6B61" w14:textId="77777777" w:rsidR="001845F7" w:rsidRDefault="009A7D81" w:rsidP="001C5461">
            <w:pPr>
              <w:spacing w:before="40"/>
            </w:pPr>
            <w:r>
              <w:t>Who will be consulted?</w:t>
            </w:r>
          </w:p>
          <w:p w14:paraId="39CA6B62" w14:textId="77777777"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14:paraId="704ADFC7" w14:textId="77777777" w:rsidR="00D56CEC" w:rsidRPr="007A1C03" w:rsidRDefault="007A1C03" w:rsidP="00153782">
            <w:pPr>
              <w:spacing w:before="40"/>
              <w:rPr>
                <w:rFonts w:eastAsia="Times New Roman"/>
                <w:lang w:val="en" w:eastAsia="en-GB"/>
              </w:rPr>
            </w:pPr>
            <w:r w:rsidRPr="007A1C03">
              <w:rPr>
                <w:rFonts w:eastAsia="Times New Roman"/>
                <w:lang w:val="en" w:eastAsia="en-GB"/>
              </w:rPr>
              <w:t>Safeguarding Team</w:t>
            </w:r>
          </w:p>
          <w:p w14:paraId="1B767206" w14:textId="77777777" w:rsidR="007A1C03" w:rsidRPr="007A1C03" w:rsidRDefault="007A1C03" w:rsidP="00153782">
            <w:pPr>
              <w:spacing w:before="40"/>
              <w:rPr>
                <w:rFonts w:eastAsia="Times New Roman"/>
                <w:lang w:val="en" w:eastAsia="en-GB"/>
              </w:rPr>
            </w:pPr>
            <w:r w:rsidRPr="007A1C03">
              <w:rPr>
                <w:rFonts w:eastAsia="Times New Roman"/>
                <w:lang w:val="en" w:eastAsia="en-GB"/>
              </w:rPr>
              <w:t xml:space="preserve">Learning Support and Wellbeing Manager </w:t>
            </w:r>
          </w:p>
          <w:p w14:paraId="674541CD" w14:textId="77777777" w:rsidR="007A1C03" w:rsidRPr="007A1C03" w:rsidRDefault="007A1C03" w:rsidP="00153782">
            <w:pPr>
              <w:spacing w:before="40"/>
              <w:rPr>
                <w:rFonts w:eastAsia="Times New Roman"/>
                <w:lang w:val="en" w:eastAsia="en-GB"/>
              </w:rPr>
            </w:pPr>
            <w:r w:rsidRPr="007A1C03">
              <w:rPr>
                <w:rFonts w:eastAsia="Times New Roman"/>
                <w:lang w:val="en" w:eastAsia="en-GB"/>
              </w:rPr>
              <w:t>Head of Student Experience</w:t>
            </w:r>
          </w:p>
          <w:p w14:paraId="39CA6B63" w14:textId="038BC5B2" w:rsidR="007A1C03" w:rsidRPr="00B62096" w:rsidRDefault="007A1C03" w:rsidP="00153782">
            <w:pPr>
              <w:spacing w:before="40"/>
              <w:rPr>
                <w:rFonts w:eastAsia="Times New Roman"/>
                <w:b/>
                <w:lang w:val="en" w:eastAsia="en-GB"/>
              </w:rPr>
            </w:pPr>
            <w:r w:rsidRPr="007A1C03">
              <w:rPr>
                <w:rFonts w:eastAsia="Times New Roman"/>
                <w:lang w:val="en" w:eastAsia="en-GB"/>
              </w:rPr>
              <w:t>Senior Management team</w:t>
            </w:r>
            <w:r>
              <w:rPr>
                <w:rFonts w:eastAsia="Times New Roman"/>
                <w:b/>
                <w:lang w:val="en" w:eastAsia="en-GB"/>
              </w:rPr>
              <w:t xml:space="preserve">  </w:t>
            </w:r>
          </w:p>
        </w:tc>
      </w:tr>
      <w:tr w:rsidR="00323A6A" w14:paraId="39CA6B6A" w14:textId="77777777"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77777777"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14:paraId="39CA6B66" w14:textId="77777777" w:rsidR="007F24AD" w:rsidRDefault="007F24AD" w:rsidP="007F24AD">
            <w:r>
              <w:t>Evidence could be quantitative, qualitative or anecdotal.</w:t>
            </w:r>
          </w:p>
          <w:p w14:paraId="39CA6B67" w14:textId="77777777" w:rsidR="000B7095" w:rsidRDefault="000B7095" w:rsidP="007F24AD">
            <w:r>
              <w:t>Do we have enough evidence to judge what the impact may be?</w:t>
            </w:r>
          </w:p>
          <w:p w14:paraId="39CA6B68" w14:textId="77777777"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14:paraId="39CA6B69" w14:textId="198021DA" w:rsidR="00B94D76" w:rsidRPr="00B62096" w:rsidRDefault="006B1897" w:rsidP="0027399A">
            <w:pPr>
              <w:spacing w:before="40"/>
              <w:jc w:val="both"/>
            </w:pPr>
            <w:r>
              <w:t xml:space="preserve">This policy will support students who are studying at Edinburgh College who are at risk from their predator who is also attending Edinburgh College.  </w:t>
            </w:r>
          </w:p>
        </w:tc>
      </w:tr>
    </w:tbl>
    <w:p w14:paraId="39CA6B6B" w14:textId="77777777" w:rsidR="00A53233" w:rsidRDefault="00A53233"/>
    <w:p w14:paraId="39CA6B6C" w14:textId="77777777" w:rsidR="00F077DE" w:rsidRDefault="00F077DE"/>
    <w:p w14:paraId="39CA6B6D" w14:textId="77777777" w:rsidR="009D7A0F" w:rsidRPr="00E61161" w:rsidRDefault="009D7A0F" w:rsidP="00150D21">
      <w:pPr>
        <w:spacing w:before="40"/>
        <w:rPr>
          <w:rFonts w:asciiTheme="minorHAnsi" w:hAnsiTheme="minorHAnsi" w:cs="Myriad Pro Light"/>
          <w:color w:val="221E1F"/>
          <w:sz w:val="28"/>
          <w:szCs w:val="23"/>
        </w:rPr>
      </w:pPr>
    </w:p>
    <w:p w14:paraId="39CA6B6E" w14:textId="77777777" w:rsidR="009D7A0F" w:rsidRPr="00E61161" w:rsidRDefault="009D7A0F" w:rsidP="00150D21">
      <w:pPr>
        <w:spacing w:before="40"/>
        <w:rPr>
          <w:rFonts w:asciiTheme="minorHAnsi" w:hAnsiTheme="minorHAnsi" w:cs="Myriad Pro Light"/>
          <w:color w:val="221E1F"/>
          <w:sz w:val="28"/>
          <w:szCs w:val="23"/>
        </w:rPr>
      </w:pPr>
    </w:p>
    <w:p w14:paraId="39CA6B6F" w14:textId="77777777"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14:paraId="39CA6B70" w14:textId="77777777" w:rsidR="009D7A0F" w:rsidRPr="009D7A0F" w:rsidRDefault="009D7A0F" w:rsidP="00150D21">
      <w:pPr>
        <w:spacing w:before="40"/>
        <w:rPr>
          <w:color w:val="221E1F"/>
        </w:rPr>
      </w:pPr>
      <w:r w:rsidRPr="009D7A0F">
        <w:rPr>
          <w:color w:val="221E1F"/>
        </w:rPr>
        <w:t>This involves:</w:t>
      </w:r>
    </w:p>
    <w:p w14:paraId="39CA6B71" w14:textId="77777777"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14:paraId="39CA6B72" w14:textId="77777777"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14:paraId="39CA6B73" w14:textId="77777777"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14:paraId="39CA6B7C" w14:textId="77777777" w:rsidTr="00792882">
        <w:tc>
          <w:tcPr>
            <w:tcW w:w="1303" w:type="pct"/>
            <w:shd w:val="clear" w:color="auto" w:fill="FBD4B4" w:themeFill="accent6" w:themeFillTint="66"/>
          </w:tcPr>
          <w:p w14:paraId="39CA6B74" w14:textId="77777777"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14:paraId="39CA6B75" w14:textId="77777777" w:rsidR="00792882" w:rsidRPr="00A133AF" w:rsidRDefault="00792882" w:rsidP="0066252E">
            <w:pPr>
              <w:rPr>
                <w:b/>
                <w:sz w:val="28"/>
              </w:rPr>
            </w:pPr>
            <w:r w:rsidRPr="00A133AF">
              <w:rPr>
                <w:b/>
                <w:sz w:val="28"/>
              </w:rPr>
              <w:t>Advancing equality-</w:t>
            </w:r>
          </w:p>
          <w:p w14:paraId="39CA6B76" w14:textId="77777777"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14:paraId="39CA6B77" w14:textId="77777777"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14:paraId="39CA6B78" w14:textId="77777777"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14:paraId="39CA6B79" w14:textId="77777777" w:rsidR="00792882" w:rsidRPr="00A133AF" w:rsidRDefault="00792882" w:rsidP="0066252E">
            <w:pPr>
              <w:rPr>
                <w:b/>
                <w:sz w:val="28"/>
              </w:rPr>
            </w:pPr>
            <w:r w:rsidRPr="00A133AF">
              <w:rPr>
                <w:b/>
                <w:sz w:val="28"/>
              </w:rPr>
              <w:t>Fostering good relations</w:t>
            </w:r>
          </w:p>
          <w:p w14:paraId="39CA6B7A" w14:textId="77777777" w:rsidR="00792882" w:rsidRPr="00A86410" w:rsidRDefault="00792882" w:rsidP="00792882">
            <w:pPr>
              <w:pStyle w:val="ListParagraph"/>
              <w:numPr>
                <w:ilvl w:val="0"/>
                <w:numId w:val="10"/>
              </w:numPr>
              <w:rPr>
                <w:b/>
                <w:sz w:val="28"/>
              </w:rPr>
            </w:pPr>
            <w:r w:rsidRPr="00A86410">
              <w:rPr>
                <w:b/>
                <w:sz w:val="28"/>
              </w:rPr>
              <w:t>Tackling prejudice</w:t>
            </w:r>
          </w:p>
          <w:p w14:paraId="39CA6B7B" w14:textId="77777777" w:rsidR="00792882" w:rsidRPr="00A86410" w:rsidRDefault="00792882" w:rsidP="00792882">
            <w:pPr>
              <w:pStyle w:val="ListParagraph"/>
              <w:numPr>
                <w:ilvl w:val="0"/>
                <w:numId w:val="10"/>
              </w:numPr>
              <w:rPr>
                <w:b/>
                <w:sz w:val="28"/>
              </w:rPr>
            </w:pPr>
            <w:r w:rsidRPr="00A86410">
              <w:rPr>
                <w:b/>
                <w:sz w:val="28"/>
              </w:rPr>
              <w:t>Promoting understanding</w:t>
            </w:r>
          </w:p>
        </w:tc>
      </w:tr>
    </w:tbl>
    <w:p w14:paraId="39CA6B7D" w14:textId="77777777"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14:paraId="39CA6B7E" w14:textId="77777777"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14:paraId="39CA6B7F"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14:paraId="39CA6B80"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14:paraId="39CA6B81"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14:paraId="39CA6B82" w14:textId="77777777"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14:paraId="39CA6B83" w14:textId="77777777"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14:paraId="39CA6B84" w14:textId="77777777"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14:paraId="39CA6B85" w14:textId="77777777"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14:paraId="39CA6B8D" w14:textId="77777777"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Default="00D234C4" w:rsidP="00D234C4">
            <w:pPr>
              <w:jc w:val="center"/>
            </w:pPr>
            <w:r w:rsidRPr="00D234C4">
              <w:t>Protected characteristic</w:t>
            </w:r>
          </w:p>
          <w:p w14:paraId="39CA6B87" w14:textId="77777777"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14:paraId="39CA6B88" w14:textId="77777777" w:rsidR="00F70D37" w:rsidRDefault="00F70D37" w:rsidP="00EC4E61">
            <w:pPr>
              <w:jc w:val="center"/>
            </w:pPr>
            <w:r>
              <w:t>Potential</w:t>
            </w:r>
          </w:p>
          <w:p w14:paraId="39CA6B89" w14:textId="77777777"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14:paraId="39CA6B8A" w14:textId="77777777"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14:paraId="39CA6B8B" w14:textId="77777777"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14:paraId="39CA6B8C" w14:textId="77777777" w:rsidR="006F48B0" w:rsidRPr="00483B7F" w:rsidRDefault="006F48B0" w:rsidP="006F48B0">
            <w:pPr>
              <w:jc w:val="center"/>
            </w:pPr>
            <w:r w:rsidRPr="00483B7F">
              <w:t xml:space="preserve">Details of Expected </w:t>
            </w:r>
            <w:r>
              <w:t xml:space="preserve">Negative </w:t>
            </w:r>
            <w:r w:rsidR="00202247">
              <w:t>Impact</w:t>
            </w:r>
          </w:p>
        </w:tc>
      </w:tr>
      <w:tr w:rsidR="00E9760D" w:rsidRPr="00AF4FFA" w14:paraId="39CA6B93" w14:textId="77777777" w:rsidTr="00E9760D">
        <w:trPr>
          <w:trHeight w:val="624"/>
        </w:trPr>
        <w:tc>
          <w:tcPr>
            <w:tcW w:w="2689" w:type="dxa"/>
            <w:tcBorders>
              <w:top w:val="single" w:sz="4" w:space="0" w:color="auto"/>
            </w:tcBorders>
            <w:shd w:val="clear" w:color="auto" w:fill="FFFFFF" w:themeFill="background1"/>
          </w:tcPr>
          <w:p w14:paraId="39CA6B8E" w14:textId="77777777" w:rsidR="00E9760D" w:rsidRPr="00483B7F" w:rsidRDefault="00E9760D" w:rsidP="00EC4E61">
            <w:r>
              <w:t>Age</w:t>
            </w:r>
          </w:p>
        </w:tc>
        <w:tc>
          <w:tcPr>
            <w:tcW w:w="1399" w:type="dxa"/>
            <w:tcBorders>
              <w:top w:val="single" w:sz="4" w:space="0" w:color="auto"/>
            </w:tcBorders>
            <w:shd w:val="clear" w:color="auto" w:fill="FFFFFF" w:themeFill="background1"/>
          </w:tcPr>
          <w:p w14:paraId="39CA6B8F" w14:textId="462EF177" w:rsidR="00E9760D" w:rsidRPr="00AC06CE" w:rsidRDefault="00D8661D" w:rsidP="00AC06CE">
            <w:pPr>
              <w:pStyle w:val="NoSpacing"/>
            </w:pPr>
            <w:r>
              <w:t>Y</w:t>
            </w:r>
          </w:p>
        </w:tc>
        <w:tc>
          <w:tcPr>
            <w:tcW w:w="4166" w:type="dxa"/>
            <w:shd w:val="clear" w:color="auto" w:fill="FFFFFF" w:themeFill="background1"/>
          </w:tcPr>
          <w:p w14:paraId="39CA6B90" w14:textId="601CE830" w:rsidR="00E9760D" w:rsidRPr="00B62096" w:rsidRDefault="006513CB" w:rsidP="006F48B0">
            <w:pPr>
              <w:spacing w:before="40"/>
              <w:rPr>
                <w:szCs w:val="20"/>
              </w:rPr>
            </w:pPr>
            <w:r>
              <w:rPr>
                <w:szCs w:val="20"/>
              </w:rPr>
              <w:t>GBV support and guidance for the student</w:t>
            </w:r>
            <w:r w:rsidR="0004481D">
              <w:rPr>
                <w:szCs w:val="20"/>
              </w:rPr>
              <w:t>s if they make a disclosure</w:t>
            </w:r>
            <w:r>
              <w:rPr>
                <w:szCs w:val="20"/>
              </w:rPr>
              <w:t xml:space="preserve">. </w:t>
            </w:r>
            <w:r w:rsidR="0004481D">
              <w:rPr>
                <w:szCs w:val="20"/>
              </w:rPr>
              <w:t>Students will have the opportunity to</w:t>
            </w:r>
            <w:r>
              <w:rPr>
                <w:szCs w:val="20"/>
              </w:rPr>
              <w:t xml:space="preserve"> </w:t>
            </w:r>
            <w:r w:rsidR="0004481D">
              <w:rPr>
                <w:szCs w:val="20"/>
              </w:rPr>
              <w:t xml:space="preserve">study in a safe college environment without risk. </w:t>
            </w:r>
            <w:r>
              <w:rPr>
                <w:szCs w:val="20"/>
              </w:rPr>
              <w:t xml:space="preserve"> </w:t>
            </w:r>
          </w:p>
        </w:tc>
        <w:tc>
          <w:tcPr>
            <w:tcW w:w="1220" w:type="dxa"/>
            <w:shd w:val="clear" w:color="auto" w:fill="FFFFFF" w:themeFill="background1"/>
          </w:tcPr>
          <w:p w14:paraId="39CA6B91" w14:textId="51DA1A2C" w:rsidR="00E9760D" w:rsidRPr="006513CB" w:rsidRDefault="0004481D" w:rsidP="00EC4E61">
            <w:pPr>
              <w:spacing w:before="40"/>
              <w:jc w:val="center"/>
              <w:rPr>
                <w:szCs w:val="20"/>
              </w:rPr>
            </w:pPr>
            <w:r>
              <w:rPr>
                <w:szCs w:val="20"/>
              </w:rPr>
              <w:t>Y</w:t>
            </w:r>
          </w:p>
        </w:tc>
        <w:tc>
          <w:tcPr>
            <w:tcW w:w="5265" w:type="dxa"/>
            <w:shd w:val="clear" w:color="auto" w:fill="FFFFFF" w:themeFill="background1"/>
          </w:tcPr>
          <w:p w14:paraId="39CA6B92" w14:textId="199A1123" w:rsidR="00E9760D" w:rsidRPr="00B62096" w:rsidRDefault="0004481D" w:rsidP="00EC4E61">
            <w:pPr>
              <w:spacing w:before="40"/>
              <w:rPr>
                <w:szCs w:val="20"/>
              </w:rPr>
            </w:pPr>
            <w:r>
              <w:rPr>
                <w:szCs w:val="20"/>
              </w:rPr>
              <w:t xml:space="preserve">This policy only applies when students are on campus studying and can’t be applied to home environment situations. </w:t>
            </w:r>
          </w:p>
        </w:tc>
      </w:tr>
      <w:tr w:rsidR="0004481D" w:rsidRPr="00AF4FFA" w14:paraId="39CA6B99" w14:textId="77777777" w:rsidTr="00E9760D">
        <w:trPr>
          <w:trHeight w:val="624"/>
        </w:trPr>
        <w:tc>
          <w:tcPr>
            <w:tcW w:w="2689" w:type="dxa"/>
            <w:tcBorders>
              <w:top w:val="single" w:sz="4" w:space="0" w:color="auto"/>
            </w:tcBorders>
            <w:shd w:val="clear" w:color="auto" w:fill="FFFFFF" w:themeFill="background1"/>
          </w:tcPr>
          <w:p w14:paraId="39CA6B94" w14:textId="77777777" w:rsidR="0004481D" w:rsidRPr="00483B7F" w:rsidRDefault="0004481D" w:rsidP="0004481D">
            <w:r>
              <w:t>Disability</w:t>
            </w:r>
          </w:p>
        </w:tc>
        <w:tc>
          <w:tcPr>
            <w:tcW w:w="1399" w:type="dxa"/>
            <w:tcBorders>
              <w:top w:val="single" w:sz="4" w:space="0" w:color="auto"/>
            </w:tcBorders>
            <w:shd w:val="clear" w:color="auto" w:fill="FFFFFF" w:themeFill="background1"/>
          </w:tcPr>
          <w:p w14:paraId="39CA6B95" w14:textId="33F2BE77" w:rsidR="0004481D" w:rsidRPr="00AC06CE" w:rsidRDefault="0004481D" w:rsidP="0004481D">
            <w:pPr>
              <w:pStyle w:val="NoSpacing"/>
            </w:pPr>
            <w:r w:rsidRPr="00B84FE0">
              <w:t>Y</w:t>
            </w:r>
          </w:p>
        </w:tc>
        <w:tc>
          <w:tcPr>
            <w:tcW w:w="4166" w:type="dxa"/>
            <w:shd w:val="clear" w:color="auto" w:fill="FFFFFF" w:themeFill="background1"/>
          </w:tcPr>
          <w:p w14:paraId="39CA6B96" w14:textId="5589B5AF"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97" w14:textId="7F862A1E"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98" w14:textId="728E87FD"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A0" w14:textId="77777777" w:rsidTr="00E9760D">
        <w:trPr>
          <w:trHeight w:val="624"/>
        </w:trPr>
        <w:tc>
          <w:tcPr>
            <w:tcW w:w="2689" w:type="dxa"/>
            <w:tcBorders>
              <w:top w:val="single" w:sz="4" w:space="0" w:color="auto"/>
            </w:tcBorders>
            <w:shd w:val="clear" w:color="auto" w:fill="FFFFFF" w:themeFill="background1"/>
          </w:tcPr>
          <w:p w14:paraId="39CA6B9A" w14:textId="77777777" w:rsidR="0004481D" w:rsidRDefault="0004481D" w:rsidP="0004481D">
            <w:r>
              <w:t>Gender reassignment</w:t>
            </w:r>
          </w:p>
          <w:p w14:paraId="39CA6B9B" w14:textId="77777777" w:rsidR="0004481D" w:rsidRPr="00483B7F" w:rsidRDefault="0004481D" w:rsidP="0004481D"/>
        </w:tc>
        <w:tc>
          <w:tcPr>
            <w:tcW w:w="1399" w:type="dxa"/>
            <w:tcBorders>
              <w:top w:val="single" w:sz="4" w:space="0" w:color="auto"/>
            </w:tcBorders>
            <w:shd w:val="clear" w:color="auto" w:fill="FFFFFF" w:themeFill="background1"/>
          </w:tcPr>
          <w:p w14:paraId="39CA6B9C" w14:textId="02819D19" w:rsidR="0004481D" w:rsidRPr="00AC06CE" w:rsidRDefault="0004481D" w:rsidP="0004481D">
            <w:pPr>
              <w:pStyle w:val="NoSpacing"/>
            </w:pPr>
            <w:r w:rsidRPr="00B84FE0">
              <w:t>Y</w:t>
            </w:r>
          </w:p>
        </w:tc>
        <w:tc>
          <w:tcPr>
            <w:tcW w:w="4166" w:type="dxa"/>
            <w:shd w:val="clear" w:color="auto" w:fill="FFFFFF" w:themeFill="background1"/>
          </w:tcPr>
          <w:p w14:paraId="39CA6B9D" w14:textId="22A1A689"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9E" w14:textId="0C4B7805"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9F" w14:textId="6CCB8EB7"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A6" w14:textId="77777777" w:rsidTr="00E9760D">
        <w:trPr>
          <w:trHeight w:val="624"/>
        </w:trPr>
        <w:tc>
          <w:tcPr>
            <w:tcW w:w="2689" w:type="dxa"/>
            <w:tcBorders>
              <w:top w:val="single" w:sz="4" w:space="0" w:color="auto"/>
            </w:tcBorders>
            <w:shd w:val="clear" w:color="auto" w:fill="FFFFFF" w:themeFill="background1"/>
          </w:tcPr>
          <w:p w14:paraId="39CA6BA1" w14:textId="77777777" w:rsidR="0004481D" w:rsidRPr="00483B7F" w:rsidRDefault="0004481D" w:rsidP="0004481D">
            <w:r>
              <w:t>Marriage/civil partnership (relevant in employment law)</w:t>
            </w:r>
          </w:p>
        </w:tc>
        <w:tc>
          <w:tcPr>
            <w:tcW w:w="1399" w:type="dxa"/>
            <w:tcBorders>
              <w:top w:val="single" w:sz="4" w:space="0" w:color="auto"/>
            </w:tcBorders>
            <w:shd w:val="clear" w:color="auto" w:fill="FFFFFF" w:themeFill="background1"/>
          </w:tcPr>
          <w:p w14:paraId="39CA6BA2" w14:textId="41746E98" w:rsidR="0004481D" w:rsidRPr="00AC06CE" w:rsidRDefault="0004481D" w:rsidP="0004481D">
            <w:pPr>
              <w:pStyle w:val="NoSpacing"/>
            </w:pPr>
            <w:r w:rsidRPr="00B84FE0">
              <w:t>Y</w:t>
            </w:r>
          </w:p>
        </w:tc>
        <w:tc>
          <w:tcPr>
            <w:tcW w:w="4166" w:type="dxa"/>
            <w:shd w:val="clear" w:color="auto" w:fill="FFFFFF" w:themeFill="background1"/>
          </w:tcPr>
          <w:p w14:paraId="39CA6BA3" w14:textId="4CA26B2A"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A4" w14:textId="57950F02"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A5" w14:textId="1C3F3F80"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AC" w14:textId="77777777" w:rsidTr="00E9760D">
        <w:trPr>
          <w:trHeight w:val="624"/>
        </w:trPr>
        <w:tc>
          <w:tcPr>
            <w:tcW w:w="2689" w:type="dxa"/>
            <w:tcBorders>
              <w:top w:val="single" w:sz="4" w:space="0" w:color="auto"/>
            </w:tcBorders>
            <w:shd w:val="clear" w:color="auto" w:fill="FFFFFF" w:themeFill="background1"/>
          </w:tcPr>
          <w:p w14:paraId="39CA6BA7" w14:textId="77777777" w:rsidR="0004481D" w:rsidRPr="00483B7F" w:rsidRDefault="0004481D" w:rsidP="0004481D">
            <w:r>
              <w:t>Pregnancy and Maternity</w:t>
            </w:r>
          </w:p>
        </w:tc>
        <w:tc>
          <w:tcPr>
            <w:tcW w:w="1399" w:type="dxa"/>
            <w:tcBorders>
              <w:top w:val="single" w:sz="4" w:space="0" w:color="auto"/>
            </w:tcBorders>
            <w:shd w:val="clear" w:color="auto" w:fill="FFFFFF" w:themeFill="background1"/>
          </w:tcPr>
          <w:p w14:paraId="39CA6BA8" w14:textId="2AC3A500" w:rsidR="0004481D" w:rsidRPr="00AC06CE" w:rsidRDefault="0004481D" w:rsidP="0004481D">
            <w:pPr>
              <w:pStyle w:val="NoSpacing"/>
            </w:pPr>
            <w:r w:rsidRPr="00B84FE0">
              <w:t>Y</w:t>
            </w:r>
          </w:p>
        </w:tc>
        <w:tc>
          <w:tcPr>
            <w:tcW w:w="4166" w:type="dxa"/>
            <w:shd w:val="clear" w:color="auto" w:fill="FFFFFF" w:themeFill="background1"/>
          </w:tcPr>
          <w:p w14:paraId="39CA6BA9" w14:textId="31027086"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AA" w14:textId="6577EC86"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AB" w14:textId="15EA67DC"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B2" w14:textId="77777777" w:rsidTr="00E9760D">
        <w:trPr>
          <w:trHeight w:val="624"/>
        </w:trPr>
        <w:tc>
          <w:tcPr>
            <w:tcW w:w="2689" w:type="dxa"/>
            <w:tcBorders>
              <w:top w:val="single" w:sz="4" w:space="0" w:color="auto"/>
            </w:tcBorders>
            <w:shd w:val="clear" w:color="auto" w:fill="FFFFFF" w:themeFill="background1"/>
          </w:tcPr>
          <w:p w14:paraId="39CA6BAD" w14:textId="77777777" w:rsidR="0004481D" w:rsidRPr="00483B7F" w:rsidRDefault="0004481D" w:rsidP="0004481D">
            <w:r>
              <w:t>Race</w:t>
            </w:r>
          </w:p>
        </w:tc>
        <w:tc>
          <w:tcPr>
            <w:tcW w:w="1399" w:type="dxa"/>
            <w:tcBorders>
              <w:top w:val="single" w:sz="4" w:space="0" w:color="auto"/>
            </w:tcBorders>
            <w:shd w:val="clear" w:color="auto" w:fill="FFFFFF" w:themeFill="background1"/>
          </w:tcPr>
          <w:p w14:paraId="39CA6BAE" w14:textId="2E9DAB12" w:rsidR="0004481D" w:rsidRPr="00AC06CE" w:rsidRDefault="0004481D" w:rsidP="0004481D">
            <w:pPr>
              <w:pStyle w:val="NoSpacing"/>
            </w:pPr>
            <w:r w:rsidRPr="00B84FE0">
              <w:t>Y</w:t>
            </w:r>
          </w:p>
        </w:tc>
        <w:tc>
          <w:tcPr>
            <w:tcW w:w="4166" w:type="dxa"/>
            <w:shd w:val="clear" w:color="auto" w:fill="FFFFFF" w:themeFill="background1"/>
          </w:tcPr>
          <w:p w14:paraId="39CA6BAF" w14:textId="2FA955A3"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B0" w14:textId="25CBF414"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B1" w14:textId="5FB4E702"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B8" w14:textId="77777777" w:rsidTr="00E9760D">
        <w:trPr>
          <w:trHeight w:val="624"/>
        </w:trPr>
        <w:tc>
          <w:tcPr>
            <w:tcW w:w="2689" w:type="dxa"/>
            <w:tcBorders>
              <w:top w:val="single" w:sz="4" w:space="0" w:color="auto"/>
            </w:tcBorders>
            <w:shd w:val="clear" w:color="auto" w:fill="FFFFFF" w:themeFill="background1"/>
          </w:tcPr>
          <w:p w14:paraId="39CA6BB3" w14:textId="77777777" w:rsidR="0004481D" w:rsidRPr="00483B7F" w:rsidRDefault="0004481D" w:rsidP="0004481D">
            <w:r>
              <w:lastRenderedPageBreak/>
              <w:t>Religion or belief</w:t>
            </w:r>
          </w:p>
        </w:tc>
        <w:tc>
          <w:tcPr>
            <w:tcW w:w="1399" w:type="dxa"/>
            <w:tcBorders>
              <w:top w:val="single" w:sz="4" w:space="0" w:color="auto"/>
            </w:tcBorders>
            <w:shd w:val="clear" w:color="auto" w:fill="FFFFFF" w:themeFill="background1"/>
          </w:tcPr>
          <w:p w14:paraId="39CA6BB4" w14:textId="71B8A29C" w:rsidR="0004481D" w:rsidRPr="00AC06CE" w:rsidRDefault="0004481D" w:rsidP="0004481D">
            <w:pPr>
              <w:pStyle w:val="NoSpacing"/>
            </w:pPr>
            <w:r w:rsidRPr="00B84FE0">
              <w:t>Y</w:t>
            </w:r>
          </w:p>
        </w:tc>
        <w:tc>
          <w:tcPr>
            <w:tcW w:w="4166" w:type="dxa"/>
            <w:shd w:val="clear" w:color="auto" w:fill="FFFFFF" w:themeFill="background1"/>
          </w:tcPr>
          <w:p w14:paraId="39CA6BB5" w14:textId="5AC453A9"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B6" w14:textId="1577B02F"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B7" w14:textId="70B1475E"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BE" w14:textId="77777777" w:rsidTr="00E9760D">
        <w:trPr>
          <w:trHeight w:val="624"/>
        </w:trPr>
        <w:tc>
          <w:tcPr>
            <w:tcW w:w="2689" w:type="dxa"/>
            <w:tcBorders>
              <w:top w:val="single" w:sz="4" w:space="0" w:color="auto"/>
            </w:tcBorders>
            <w:shd w:val="clear" w:color="auto" w:fill="FFFFFF" w:themeFill="background1"/>
          </w:tcPr>
          <w:p w14:paraId="39CA6BB9" w14:textId="77777777" w:rsidR="0004481D" w:rsidRPr="00483B7F" w:rsidRDefault="0004481D" w:rsidP="0004481D">
            <w:r>
              <w:t>Sex</w:t>
            </w:r>
          </w:p>
        </w:tc>
        <w:tc>
          <w:tcPr>
            <w:tcW w:w="1399" w:type="dxa"/>
            <w:tcBorders>
              <w:top w:val="single" w:sz="4" w:space="0" w:color="auto"/>
            </w:tcBorders>
            <w:shd w:val="clear" w:color="auto" w:fill="FFFFFF" w:themeFill="background1"/>
          </w:tcPr>
          <w:p w14:paraId="39CA6BBA" w14:textId="5343290A" w:rsidR="0004481D" w:rsidRPr="00AC06CE" w:rsidRDefault="0004481D" w:rsidP="0004481D">
            <w:pPr>
              <w:pStyle w:val="NoSpacing"/>
            </w:pPr>
            <w:r w:rsidRPr="00B84FE0">
              <w:t>Y</w:t>
            </w:r>
          </w:p>
        </w:tc>
        <w:tc>
          <w:tcPr>
            <w:tcW w:w="4166" w:type="dxa"/>
            <w:shd w:val="clear" w:color="auto" w:fill="FFFFFF" w:themeFill="background1"/>
          </w:tcPr>
          <w:p w14:paraId="39CA6BBB" w14:textId="494FC274"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BC" w14:textId="67AD45EB"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BD" w14:textId="4F24679E"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C4" w14:textId="77777777" w:rsidTr="00E9760D">
        <w:trPr>
          <w:trHeight w:val="624"/>
        </w:trPr>
        <w:tc>
          <w:tcPr>
            <w:tcW w:w="2689" w:type="dxa"/>
            <w:tcBorders>
              <w:top w:val="single" w:sz="4" w:space="0" w:color="auto"/>
            </w:tcBorders>
            <w:shd w:val="clear" w:color="auto" w:fill="FFFFFF" w:themeFill="background1"/>
          </w:tcPr>
          <w:p w14:paraId="39CA6BBF" w14:textId="77777777" w:rsidR="0004481D" w:rsidRPr="00483B7F" w:rsidRDefault="0004481D" w:rsidP="0004481D">
            <w:r>
              <w:t>Sexual orientation</w:t>
            </w:r>
          </w:p>
        </w:tc>
        <w:tc>
          <w:tcPr>
            <w:tcW w:w="1399" w:type="dxa"/>
            <w:tcBorders>
              <w:top w:val="single" w:sz="4" w:space="0" w:color="auto"/>
            </w:tcBorders>
            <w:shd w:val="clear" w:color="auto" w:fill="FFFFFF" w:themeFill="background1"/>
          </w:tcPr>
          <w:p w14:paraId="39CA6BC0" w14:textId="528A53E7" w:rsidR="0004481D" w:rsidRPr="00AC06CE" w:rsidRDefault="0004481D" w:rsidP="0004481D">
            <w:pPr>
              <w:pStyle w:val="NoSpacing"/>
            </w:pPr>
            <w:r w:rsidRPr="00B84FE0">
              <w:t>Y</w:t>
            </w:r>
          </w:p>
        </w:tc>
        <w:tc>
          <w:tcPr>
            <w:tcW w:w="4166" w:type="dxa"/>
            <w:shd w:val="clear" w:color="auto" w:fill="FFFFFF" w:themeFill="background1"/>
          </w:tcPr>
          <w:p w14:paraId="39CA6BC1" w14:textId="235E7D9F"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C2" w14:textId="6F070104"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C3" w14:textId="3F4A083D"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CB" w14:textId="77777777" w:rsidTr="00E9760D">
        <w:trPr>
          <w:trHeight w:val="624"/>
        </w:trPr>
        <w:tc>
          <w:tcPr>
            <w:tcW w:w="2689" w:type="dxa"/>
            <w:tcBorders>
              <w:top w:val="single" w:sz="4" w:space="0" w:color="auto"/>
            </w:tcBorders>
            <w:shd w:val="clear" w:color="auto" w:fill="FFFFFF" w:themeFill="background1"/>
          </w:tcPr>
          <w:p w14:paraId="39CA6BC5" w14:textId="77777777" w:rsidR="0004481D" w:rsidRDefault="0004481D" w:rsidP="0004481D">
            <w:r>
              <w:t>Social deprivation*</w:t>
            </w:r>
          </w:p>
          <w:p w14:paraId="39CA6BC6" w14:textId="77777777" w:rsidR="0004481D" w:rsidRPr="00483B7F" w:rsidRDefault="0004481D" w:rsidP="0004481D">
            <w:r w:rsidRPr="00C76212">
              <w:rPr>
                <w:sz w:val="20"/>
              </w:rPr>
              <w:t>See Note 7</w:t>
            </w:r>
          </w:p>
        </w:tc>
        <w:tc>
          <w:tcPr>
            <w:tcW w:w="1399" w:type="dxa"/>
            <w:tcBorders>
              <w:top w:val="single" w:sz="4" w:space="0" w:color="auto"/>
            </w:tcBorders>
            <w:shd w:val="clear" w:color="auto" w:fill="FFFFFF" w:themeFill="background1"/>
          </w:tcPr>
          <w:p w14:paraId="39CA6BC7" w14:textId="709CBA0B" w:rsidR="0004481D" w:rsidRPr="00AC06CE" w:rsidRDefault="0004481D" w:rsidP="0004481D">
            <w:pPr>
              <w:pStyle w:val="NoSpacing"/>
            </w:pPr>
            <w:r w:rsidRPr="00AA6DA3">
              <w:t>Y</w:t>
            </w:r>
          </w:p>
        </w:tc>
        <w:tc>
          <w:tcPr>
            <w:tcW w:w="4166" w:type="dxa"/>
            <w:shd w:val="clear" w:color="auto" w:fill="FFFFFF" w:themeFill="background1"/>
          </w:tcPr>
          <w:p w14:paraId="39CA6BC8" w14:textId="32B50E18"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C9" w14:textId="084BFC56"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CA" w14:textId="069B419E"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D1" w14:textId="77777777" w:rsidTr="00E9760D">
        <w:trPr>
          <w:trHeight w:val="624"/>
        </w:trPr>
        <w:tc>
          <w:tcPr>
            <w:tcW w:w="2689" w:type="dxa"/>
            <w:tcBorders>
              <w:top w:val="single" w:sz="4" w:space="0" w:color="auto"/>
            </w:tcBorders>
            <w:shd w:val="clear" w:color="auto" w:fill="FFFFFF" w:themeFill="background1"/>
          </w:tcPr>
          <w:p w14:paraId="39CA6BCC" w14:textId="77777777" w:rsidR="0004481D" w:rsidRDefault="0004481D" w:rsidP="0004481D">
            <w:r>
              <w:t>Care Experienced people*</w:t>
            </w:r>
          </w:p>
        </w:tc>
        <w:tc>
          <w:tcPr>
            <w:tcW w:w="1399" w:type="dxa"/>
            <w:tcBorders>
              <w:top w:val="single" w:sz="4" w:space="0" w:color="auto"/>
            </w:tcBorders>
            <w:shd w:val="clear" w:color="auto" w:fill="FFFFFF" w:themeFill="background1"/>
          </w:tcPr>
          <w:p w14:paraId="39CA6BCD" w14:textId="479A1D60" w:rsidR="0004481D" w:rsidRPr="00AC06CE" w:rsidRDefault="0004481D" w:rsidP="0004481D">
            <w:pPr>
              <w:pStyle w:val="NoSpacing"/>
            </w:pPr>
            <w:r w:rsidRPr="00AA6DA3">
              <w:t>Y</w:t>
            </w:r>
          </w:p>
        </w:tc>
        <w:tc>
          <w:tcPr>
            <w:tcW w:w="4166" w:type="dxa"/>
            <w:shd w:val="clear" w:color="auto" w:fill="FFFFFF" w:themeFill="background1"/>
          </w:tcPr>
          <w:p w14:paraId="39CA6BCE" w14:textId="4CBF7C0E"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CF" w14:textId="62A0252A"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D0" w14:textId="293B068F"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r w:rsidR="0004481D" w:rsidRPr="00AF4FFA" w14:paraId="39CA6BD7" w14:textId="77777777" w:rsidTr="00E9760D">
        <w:trPr>
          <w:trHeight w:val="624"/>
        </w:trPr>
        <w:tc>
          <w:tcPr>
            <w:tcW w:w="2689" w:type="dxa"/>
            <w:tcBorders>
              <w:top w:val="single" w:sz="4" w:space="0" w:color="auto"/>
            </w:tcBorders>
            <w:shd w:val="clear" w:color="auto" w:fill="FFFFFF" w:themeFill="background1"/>
          </w:tcPr>
          <w:p w14:paraId="39CA6BD2" w14:textId="77777777" w:rsidR="0004481D" w:rsidRDefault="0004481D" w:rsidP="0004481D">
            <w:r>
              <w:t>People with caring responsibilities*</w:t>
            </w:r>
          </w:p>
        </w:tc>
        <w:tc>
          <w:tcPr>
            <w:tcW w:w="1399" w:type="dxa"/>
            <w:tcBorders>
              <w:top w:val="single" w:sz="4" w:space="0" w:color="auto"/>
            </w:tcBorders>
            <w:shd w:val="clear" w:color="auto" w:fill="FFFFFF" w:themeFill="background1"/>
          </w:tcPr>
          <w:p w14:paraId="39CA6BD3" w14:textId="7E65BC92" w:rsidR="0004481D" w:rsidRPr="00AC06CE" w:rsidRDefault="0004481D" w:rsidP="0004481D">
            <w:pPr>
              <w:pStyle w:val="NoSpacing"/>
            </w:pPr>
            <w:r w:rsidRPr="00AA6DA3">
              <w:t>Y</w:t>
            </w:r>
          </w:p>
        </w:tc>
        <w:tc>
          <w:tcPr>
            <w:tcW w:w="4166" w:type="dxa"/>
            <w:shd w:val="clear" w:color="auto" w:fill="FFFFFF" w:themeFill="background1"/>
          </w:tcPr>
          <w:p w14:paraId="39CA6BD4" w14:textId="4C351E5B" w:rsidR="0004481D" w:rsidRPr="00B62096" w:rsidRDefault="0004481D" w:rsidP="0004481D">
            <w:pPr>
              <w:spacing w:before="40"/>
              <w:rPr>
                <w:szCs w:val="20"/>
              </w:rPr>
            </w:pPr>
            <w:r w:rsidRPr="00DB54CC">
              <w:rPr>
                <w:szCs w:val="20"/>
              </w:rPr>
              <w:t xml:space="preserve">GBV support and guidance for the students if they make a disclosure. Students will have the opportunity to study in a safe college environment without risk.  </w:t>
            </w:r>
          </w:p>
        </w:tc>
        <w:tc>
          <w:tcPr>
            <w:tcW w:w="1220" w:type="dxa"/>
            <w:shd w:val="clear" w:color="auto" w:fill="FFFFFF" w:themeFill="background1"/>
          </w:tcPr>
          <w:p w14:paraId="39CA6BD5" w14:textId="13EF10F0" w:rsidR="0004481D" w:rsidRPr="00B62096" w:rsidRDefault="0004481D" w:rsidP="0004481D">
            <w:pPr>
              <w:spacing w:before="40"/>
              <w:jc w:val="center"/>
              <w:rPr>
                <w:b/>
                <w:szCs w:val="20"/>
              </w:rPr>
            </w:pPr>
            <w:r w:rsidRPr="00AB3BA8">
              <w:rPr>
                <w:szCs w:val="20"/>
              </w:rPr>
              <w:t>Y</w:t>
            </w:r>
          </w:p>
        </w:tc>
        <w:tc>
          <w:tcPr>
            <w:tcW w:w="5265" w:type="dxa"/>
            <w:shd w:val="clear" w:color="auto" w:fill="FFFFFF" w:themeFill="background1"/>
          </w:tcPr>
          <w:p w14:paraId="39CA6BD6" w14:textId="79FCF768" w:rsidR="0004481D" w:rsidRPr="00B62096" w:rsidRDefault="0004481D" w:rsidP="0004481D">
            <w:pPr>
              <w:spacing w:before="40"/>
              <w:rPr>
                <w:szCs w:val="20"/>
              </w:rPr>
            </w:pPr>
            <w:r w:rsidRPr="009D380A">
              <w:rPr>
                <w:szCs w:val="20"/>
              </w:rPr>
              <w:t xml:space="preserve">This policy only applies when students are on campus studying and can’t be applied to home environment situations. </w:t>
            </w:r>
          </w:p>
        </w:tc>
      </w:tr>
    </w:tbl>
    <w:p w14:paraId="39CA6BD8" w14:textId="77777777"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39CA6BD9" w14:textId="77777777"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14:paraId="39CA6BDA" w14:textId="77777777"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14:paraId="39CA6BDE" w14:textId="77777777" w:rsidTr="008F1444">
        <w:trPr>
          <w:trHeight w:val="851"/>
        </w:trPr>
        <w:tc>
          <w:tcPr>
            <w:tcW w:w="912" w:type="pct"/>
            <w:shd w:val="clear" w:color="auto" w:fill="FDE9D9" w:themeFill="accent6" w:themeFillTint="33"/>
            <w:vAlign w:val="center"/>
          </w:tcPr>
          <w:p w14:paraId="39CA6BDB" w14:textId="77777777"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14:paraId="39CA6BDC" w14:textId="77777777" w:rsidR="00D77EBC" w:rsidRPr="00202247" w:rsidRDefault="00C76212" w:rsidP="0066252E">
            <w:pPr>
              <w:spacing w:before="40"/>
              <w:jc w:val="center"/>
            </w:pPr>
            <w:r>
              <w:rPr>
                <w:sz w:val="20"/>
              </w:rPr>
              <w:t>See note 8</w:t>
            </w:r>
          </w:p>
        </w:tc>
        <w:tc>
          <w:tcPr>
            <w:tcW w:w="4088" w:type="pct"/>
            <w:shd w:val="clear" w:color="auto" w:fill="FFFFFF" w:themeFill="background1"/>
          </w:tcPr>
          <w:p w14:paraId="39CA6BDD" w14:textId="144FB62A" w:rsidR="006D3F43" w:rsidRPr="000A2B52" w:rsidRDefault="0004481D" w:rsidP="0066252E">
            <w:pPr>
              <w:spacing w:before="40"/>
              <w:rPr>
                <w:szCs w:val="16"/>
              </w:rPr>
            </w:pPr>
            <w:r>
              <w:rPr>
                <w:szCs w:val="16"/>
              </w:rPr>
              <w:t xml:space="preserve">This negative impact is one that cant be helped due to the current circumstances. If a student disclosed GBV in their household towards them then the safeguarding team can give information and support to access help. If there was an immediate danger to life then the Safeguarding Team would alert the police. </w:t>
            </w:r>
          </w:p>
        </w:tc>
      </w:tr>
      <w:tr w:rsidR="00A333C2" w:rsidRPr="00202247" w14:paraId="39CA6BE1" w14:textId="77777777" w:rsidTr="008F1444">
        <w:trPr>
          <w:trHeight w:val="851"/>
        </w:trPr>
        <w:tc>
          <w:tcPr>
            <w:tcW w:w="912" w:type="pct"/>
            <w:shd w:val="clear" w:color="auto" w:fill="FDE9D9" w:themeFill="accent6" w:themeFillTint="33"/>
            <w:vAlign w:val="center"/>
          </w:tcPr>
          <w:p w14:paraId="39CA6BDF" w14:textId="77777777" w:rsidR="00A333C2" w:rsidRDefault="00A333C2" w:rsidP="00A333C2">
            <w:pPr>
              <w:spacing w:before="40"/>
              <w:jc w:val="center"/>
            </w:pPr>
            <w:r>
              <w:t>Is there a need to address any gaps in evidence?</w:t>
            </w:r>
          </w:p>
        </w:tc>
        <w:tc>
          <w:tcPr>
            <w:tcW w:w="4088" w:type="pct"/>
            <w:shd w:val="clear" w:color="auto" w:fill="FFFFFF" w:themeFill="background1"/>
          </w:tcPr>
          <w:p w14:paraId="39CA6BE0" w14:textId="2F311810" w:rsidR="00A333C2" w:rsidRPr="000A2B52" w:rsidRDefault="0004481D" w:rsidP="00A333C2">
            <w:pPr>
              <w:spacing w:before="40"/>
              <w:rPr>
                <w:szCs w:val="16"/>
              </w:rPr>
            </w:pPr>
            <w:r>
              <w:rPr>
                <w:szCs w:val="16"/>
              </w:rPr>
              <w:t>N/A</w:t>
            </w:r>
          </w:p>
        </w:tc>
      </w:tr>
      <w:tr w:rsidR="00A333C2" w:rsidRPr="00202247" w14:paraId="39CA6BE4" w14:textId="77777777" w:rsidTr="008F1444">
        <w:trPr>
          <w:trHeight w:val="851"/>
        </w:trPr>
        <w:tc>
          <w:tcPr>
            <w:tcW w:w="912" w:type="pct"/>
            <w:shd w:val="clear" w:color="auto" w:fill="FDE9D9" w:themeFill="accent6" w:themeFillTint="33"/>
          </w:tcPr>
          <w:p w14:paraId="39CA6BE2" w14:textId="77777777" w:rsidR="00A333C2" w:rsidRPr="00F70D37" w:rsidRDefault="00A333C2" w:rsidP="00A333C2">
            <w:pPr>
              <w:jc w:val="center"/>
            </w:pPr>
            <w:r>
              <w:t>How will equality be advanced/ good relations be fostered?</w:t>
            </w:r>
          </w:p>
        </w:tc>
        <w:tc>
          <w:tcPr>
            <w:tcW w:w="4088" w:type="pct"/>
            <w:shd w:val="clear" w:color="auto" w:fill="FFFFFF" w:themeFill="background1"/>
          </w:tcPr>
          <w:p w14:paraId="39CA6BE3" w14:textId="18F6EB68" w:rsidR="00A333C2" w:rsidRPr="000A2B52" w:rsidRDefault="00A333C2" w:rsidP="00A333C2">
            <w:pPr>
              <w:rPr>
                <w:szCs w:val="16"/>
              </w:rPr>
            </w:pPr>
            <w:r w:rsidRPr="00FC7107">
              <w:rPr>
                <w:szCs w:val="16"/>
              </w:rPr>
              <w:t>N/A</w:t>
            </w:r>
          </w:p>
        </w:tc>
      </w:tr>
      <w:tr w:rsidR="00A333C2" w:rsidRPr="00202247" w14:paraId="39CA6BE7" w14:textId="77777777" w:rsidTr="008F1444">
        <w:trPr>
          <w:trHeight w:val="851"/>
        </w:trPr>
        <w:tc>
          <w:tcPr>
            <w:tcW w:w="912" w:type="pct"/>
            <w:shd w:val="clear" w:color="auto" w:fill="FDE9D9" w:themeFill="accent6" w:themeFillTint="33"/>
          </w:tcPr>
          <w:p w14:paraId="39CA6BE5" w14:textId="77777777" w:rsidR="00A333C2" w:rsidRPr="00202247" w:rsidRDefault="00A333C2" w:rsidP="00A333C2">
            <w:pPr>
              <w:jc w:val="center"/>
              <w:rPr>
                <w:sz w:val="16"/>
                <w:szCs w:val="16"/>
              </w:rPr>
            </w:pPr>
            <w:r>
              <w:t xml:space="preserve">Who has been involved in carrying out this assessment? </w:t>
            </w:r>
          </w:p>
        </w:tc>
        <w:tc>
          <w:tcPr>
            <w:tcW w:w="4088" w:type="pct"/>
            <w:shd w:val="clear" w:color="auto" w:fill="FFFFFF" w:themeFill="background1"/>
          </w:tcPr>
          <w:p w14:paraId="39CA6BE6" w14:textId="22A13CF5" w:rsidR="00A333C2" w:rsidRPr="000A2B52" w:rsidRDefault="0004481D" w:rsidP="00A333C2">
            <w:pPr>
              <w:rPr>
                <w:szCs w:val="16"/>
              </w:rPr>
            </w:pPr>
            <w:r>
              <w:rPr>
                <w:szCs w:val="16"/>
              </w:rPr>
              <w:t xml:space="preserve">Kara Tait – Safeguarding Team Leader </w:t>
            </w:r>
          </w:p>
        </w:tc>
      </w:tr>
      <w:tr w:rsidR="00A333C2" w:rsidRPr="00202247" w14:paraId="39CA6BEA" w14:textId="77777777" w:rsidTr="008F1444">
        <w:trPr>
          <w:trHeight w:val="851"/>
        </w:trPr>
        <w:tc>
          <w:tcPr>
            <w:tcW w:w="912" w:type="pct"/>
            <w:shd w:val="clear" w:color="auto" w:fill="FDE9D9" w:themeFill="accent6" w:themeFillTint="33"/>
          </w:tcPr>
          <w:p w14:paraId="39CA6BE8" w14:textId="77777777" w:rsidR="00A333C2" w:rsidRPr="00202247" w:rsidRDefault="00A333C2" w:rsidP="00A333C2">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14:paraId="39CA6BE9" w14:textId="625FB456" w:rsidR="00A333C2" w:rsidRPr="000A2B52" w:rsidRDefault="00A333C2" w:rsidP="00A333C2">
            <w:pPr>
              <w:rPr>
                <w:szCs w:val="16"/>
              </w:rPr>
            </w:pPr>
            <w:r w:rsidRPr="00FC7107">
              <w:rPr>
                <w:szCs w:val="16"/>
              </w:rPr>
              <w:t>N/A</w:t>
            </w:r>
          </w:p>
        </w:tc>
      </w:tr>
    </w:tbl>
    <w:p w14:paraId="39CA6BEB" w14:textId="77777777" w:rsidR="006D3F43" w:rsidRDefault="006D3F43" w:rsidP="00850631">
      <w:pPr>
        <w:pStyle w:val="NoSpacing"/>
        <w:rPr>
          <w:b/>
          <w:sz w:val="22"/>
          <w:szCs w:val="22"/>
        </w:rPr>
      </w:pPr>
    </w:p>
    <w:p w14:paraId="39CA6BEC" w14:textId="77777777"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14:paraId="39CA6BF1" w14:textId="77777777" w:rsidTr="006B7E5C">
        <w:tc>
          <w:tcPr>
            <w:tcW w:w="2405" w:type="dxa"/>
            <w:vMerge w:val="restart"/>
            <w:shd w:val="clear" w:color="auto" w:fill="FDE9D9" w:themeFill="accent6" w:themeFillTint="33"/>
            <w:hideMark/>
          </w:tcPr>
          <w:p w14:paraId="39CA6BED" w14:textId="77777777"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14:paraId="39CA6BEE" w14:textId="77777777"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14:paraId="39CA6BEF" w14:textId="77777777"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14:paraId="39CA6BF0" w14:textId="7B583755" w:rsidR="00C81A1C" w:rsidRDefault="0005032D" w:rsidP="0044724F">
            <w:pPr>
              <w:spacing w:before="120"/>
              <w:rPr>
                <w:b/>
                <w:sz w:val="20"/>
                <w:szCs w:val="20"/>
              </w:rPr>
            </w:pPr>
            <w:r>
              <w:rPr>
                <w:b/>
                <w:sz w:val="20"/>
                <w:szCs w:val="20"/>
              </w:rPr>
              <w:t>x</w:t>
            </w:r>
          </w:p>
        </w:tc>
      </w:tr>
      <w:tr w:rsidR="00C81A1C" w14:paraId="39CA6BF5" w14:textId="77777777" w:rsidTr="006B7E5C">
        <w:tc>
          <w:tcPr>
            <w:tcW w:w="2405" w:type="dxa"/>
            <w:vMerge/>
            <w:shd w:val="clear" w:color="auto" w:fill="FDE9D9" w:themeFill="accent6" w:themeFillTint="33"/>
            <w:vAlign w:val="center"/>
            <w:hideMark/>
          </w:tcPr>
          <w:p w14:paraId="39CA6BF2" w14:textId="77777777" w:rsidR="00C81A1C" w:rsidRDefault="00C81A1C" w:rsidP="0044724F">
            <w:pPr>
              <w:spacing w:before="120"/>
              <w:rPr>
                <w:rFonts w:asciiTheme="minorHAnsi" w:hAnsiTheme="minorHAnsi" w:cstheme="minorBidi"/>
                <w:b/>
                <w:sz w:val="20"/>
                <w:szCs w:val="20"/>
              </w:rPr>
            </w:pPr>
          </w:p>
        </w:tc>
        <w:tc>
          <w:tcPr>
            <w:tcW w:w="11482" w:type="dxa"/>
            <w:hideMark/>
          </w:tcPr>
          <w:p w14:paraId="39CA6BF3" w14:textId="77777777"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14:paraId="39CA6BF4" w14:textId="77777777" w:rsidR="00C81A1C" w:rsidRDefault="00C81A1C" w:rsidP="0044724F">
            <w:pPr>
              <w:spacing w:before="120"/>
              <w:rPr>
                <w:b/>
                <w:sz w:val="22"/>
                <w:szCs w:val="22"/>
              </w:rPr>
            </w:pPr>
          </w:p>
        </w:tc>
      </w:tr>
      <w:tr w:rsidR="00C81A1C" w14:paraId="39CA6BF9" w14:textId="77777777" w:rsidTr="006B7E5C">
        <w:tc>
          <w:tcPr>
            <w:tcW w:w="2405" w:type="dxa"/>
            <w:vMerge/>
            <w:shd w:val="clear" w:color="auto" w:fill="FDE9D9" w:themeFill="accent6" w:themeFillTint="33"/>
            <w:vAlign w:val="center"/>
            <w:hideMark/>
          </w:tcPr>
          <w:p w14:paraId="39CA6BF6" w14:textId="77777777" w:rsidR="00C81A1C" w:rsidRDefault="00C81A1C" w:rsidP="0044724F">
            <w:pPr>
              <w:spacing w:before="120"/>
              <w:rPr>
                <w:rFonts w:asciiTheme="minorHAnsi" w:hAnsiTheme="minorHAnsi" w:cstheme="minorBidi"/>
                <w:b/>
                <w:sz w:val="20"/>
                <w:szCs w:val="20"/>
              </w:rPr>
            </w:pPr>
          </w:p>
        </w:tc>
        <w:tc>
          <w:tcPr>
            <w:tcW w:w="11482" w:type="dxa"/>
            <w:hideMark/>
          </w:tcPr>
          <w:p w14:paraId="39CA6BF7" w14:textId="77777777"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14:paraId="39CA6BF8" w14:textId="77777777" w:rsidR="00C81A1C" w:rsidRDefault="00C81A1C" w:rsidP="0044724F">
            <w:pPr>
              <w:spacing w:before="120"/>
              <w:rPr>
                <w:b/>
                <w:sz w:val="22"/>
                <w:szCs w:val="22"/>
              </w:rPr>
            </w:pPr>
          </w:p>
        </w:tc>
      </w:tr>
      <w:tr w:rsidR="00C81A1C" w14:paraId="39CA6BFD" w14:textId="77777777" w:rsidTr="006B7E5C">
        <w:tc>
          <w:tcPr>
            <w:tcW w:w="2405" w:type="dxa"/>
            <w:vMerge/>
            <w:tcBorders>
              <w:bottom w:val="single" w:sz="4" w:space="0" w:color="auto"/>
            </w:tcBorders>
            <w:shd w:val="clear" w:color="auto" w:fill="FDE9D9" w:themeFill="accent6" w:themeFillTint="33"/>
            <w:vAlign w:val="center"/>
            <w:hideMark/>
          </w:tcPr>
          <w:p w14:paraId="39CA6BFA" w14:textId="77777777"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14:paraId="39CA6BFB" w14:textId="77777777"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14:paraId="39CA6BFC" w14:textId="77777777" w:rsidR="00C81A1C" w:rsidRDefault="00C81A1C" w:rsidP="0044724F">
            <w:pPr>
              <w:spacing w:before="120"/>
              <w:rPr>
                <w:b/>
                <w:sz w:val="22"/>
                <w:szCs w:val="22"/>
              </w:rPr>
            </w:pPr>
          </w:p>
        </w:tc>
      </w:tr>
      <w:tr w:rsidR="00473F86" w:rsidRPr="00AF4FFA"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14:paraId="39CA6C01" w14:textId="77777777"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14:paraId="39CA6C00" w14:textId="77777777" w:rsidR="00F01FE0" w:rsidRDefault="00F01FE0" w:rsidP="002A3745">
            <w:pPr>
              <w:spacing w:before="240"/>
              <w:rPr>
                <w:sz w:val="20"/>
                <w:szCs w:val="20"/>
              </w:rPr>
            </w:pPr>
          </w:p>
        </w:tc>
      </w:tr>
    </w:tbl>
    <w:p w14:paraId="39CA6C02" w14:textId="77777777" w:rsidR="0070228B" w:rsidRDefault="0070228B" w:rsidP="0070228B">
      <w:pPr>
        <w:spacing w:after="0"/>
      </w:pPr>
    </w:p>
    <w:p w14:paraId="39CA6C03" w14:textId="77777777"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14:paraId="39CA6C05" w14:textId="77777777"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14:paraId="39CA6C06" w14:textId="77777777"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14:paraId="39CA6C07" w14:textId="77777777"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14:paraId="39CA6C08" w14:textId="77777777" w:rsidR="003747D2" w:rsidRPr="0070228B" w:rsidRDefault="003747D2" w:rsidP="003747D2">
            <w:pPr>
              <w:pStyle w:val="ListParagraph"/>
              <w:ind w:left="714"/>
              <w:contextualSpacing w:val="0"/>
              <w:rPr>
                <w:b/>
                <w:sz w:val="22"/>
                <w:szCs w:val="22"/>
              </w:rPr>
            </w:pPr>
            <w:r w:rsidRPr="003747D2">
              <w:rPr>
                <w:bCs/>
                <w:sz w:val="20"/>
              </w:rPr>
              <w:t>See Note 10</w:t>
            </w:r>
          </w:p>
        </w:tc>
      </w:tr>
      <w:tr w:rsidR="00C81A1C" w14:paraId="39CA6C10" w14:textId="77777777" w:rsidTr="007B4F24">
        <w:trPr>
          <w:trHeight w:val="415"/>
        </w:trPr>
        <w:tc>
          <w:tcPr>
            <w:tcW w:w="8074" w:type="dxa"/>
            <w:tcBorders>
              <w:left w:val="single" w:sz="4" w:space="0" w:color="auto"/>
            </w:tcBorders>
          </w:tcPr>
          <w:p w14:paraId="39CA6C0A" w14:textId="77777777"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14:paraId="39CA6C0B" w14:textId="77777777" w:rsidR="00774188" w:rsidRPr="009975A9" w:rsidRDefault="00774188" w:rsidP="0044724F">
            <w:pPr>
              <w:spacing w:before="60"/>
              <w:rPr>
                <w:b/>
                <w:sz w:val="22"/>
                <w:szCs w:val="22"/>
              </w:rPr>
            </w:pPr>
          </w:p>
        </w:tc>
        <w:tc>
          <w:tcPr>
            <w:tcW w:w="3545" w:type="dxa"/>
          </w:tcPr>
          <w:p w14:paraId="39CA6C0C" w14:textId="77777777"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14:paraId="39CA6C0D" w14:textId="77777777" w:rsidR="00C81A1C" w:rsidRPr="009975A9" w:rsidRDefault="00C81A1C" w:rsidP="0044724F">
            <w:pPr>
              <w:spacing w:before="60"/>
              <w:rPr>
                <w:b/>
                <w:sz w:val="22"/>
                <w:szCs w:val="22"/>
              </w:rPr>
            </w:pPr>
          </w:p>
        </w:tc>
        <w:tc>
          <w:tcPr>
            <w:tcW w:w="3260" w:type="dxa"/>
            <w:tcBorders>
              <w:right w:val="single" w:sz="4" w:space="0" w:color="auto"/>
            </w:tcBorders>
            <w:hideMark/>
          </w:tcPr>
          <w:p w14:paraId="39CA6C0E" w14:textId="77777777"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14:paraId="39CA6C0F" w14:textId="77777777" w:rsidR="00F01FE0" w:rsidRPr="009975A9" w:rsidRDefault="00F01FE0" w:rsidP="0044724F">
            <w:pPr>
              <w:spacing w:before="60"/>
              <w:rPr>
                <w:b/>
                <w:sz w:val="22"/>
                <w:szCs w:val="22"/>
              </w:rPr>
            </w:pPr>
          </w:p>
        </w:tc>
      </w:tr>
      <w:tr w:rsidR="00C51C24" w14:paraId="39CA6C14" w14:textId="77777777" w:rsidTr="007B4F24">
        <w:tc>
          <w:tcPr>
            <w:tcW w:w="8074" w:type="dxa"/>
            <w:tcBorders>
              <w:left w:val="single" w:sz="4" w:space="0" w:color="auto"/>
              <w:right w:val="single" w:sz="4" w:space="0" w:color="auto"/>
            </w:tcBorders>
          </w:tcPr>
          <w:p w14:paraId="39CA6C11" w14:textId="7B03ABAC" w:rsidR="00C51C24" w:rsidRPr="000A2B52" w:rsidRDefault="0098268A" w:rsidP="00DD267E">
            <w:pPr>
              <w:spacing w:before="240"/>
            </w:pPr>
            <w:r>
              <w:t xml:space="preserve">Data gathered from </w:t>
            </w:r>
            <w:proofErr w:type="spellStart"/>
            <w:r>
              <w:t>Topdesk</w:t>
            </w:r>
            <w:proofErr w:type="spellEnd"/>
            <w:r>
              <w:t xml:space="preserve"> for the </w:t>
            </w:r>
            <w:r w:rsidR="00DB438C">
              <w:t>GB</w:t>
            </w:r>
            <w:r w:rsidR="00274C3F">
              <w:t>V</w:t>
            </w:r>
            <w:r w:rsidR="00DB438C">
              <w:t xml:space="preserve"> reports. This is done </w:t>
            </w:r>
            <w:r w:rsidR="00274C3F">
              <w:t xml:space="preserve">a minimum of once a year. </w:t>
            </w:r>
            <w:r>
              <w:t xml:space="preserve"> </w:t>
            </w:r>
          </w:p>
        </w:tc>
        <w:tc>
          <w:tcPr>
            <w:tcW w:w="3545" w:type="dxa"/>
            <w:tcBorders>
              <w:left w:val="single" w:sz="4" w:space="0" w:color="auto"/>
              <w:right w:val="single" w:sz="4" w:space="0" w:color="auto"/>
            </w:tcBorders>
          </w:tcPr>
          <w:p w14:paraId="39CA6C12" w14:textId="3F884129" w:rsidR="00C51C24" w:rsidRPr="000A2B52" w:rsidRDefault="00274C3F" w:rsidP="00DD267E">
            <w:pPr>
              <w:spacing w:before="240"/>
            </w:pPr>
            <w:r>
              <w:t xml:space="preserve">Kara Tait – Safeguarding Team Leader </w:t>
            </w:r>
          </w:p>
        </w:tc>
        <w:tc>
          <w:tcPr>
            <w:tcW w:w="3260" w:type="dxa"/>
            <w:tcBorders>
              <w:left w:val="single" w:sz="4" w:space="0" w:color="auto"/>
              <w:right w:val="single" w:sz="4" w:space="0" w:color="auto"/>
            </w:tcBorders>
          </w:tcPr>
          <w:p w14:paraId="39CA6C13" w14:textId="6E27C18A" w:rsidR="00274C3F" w:rsidRPr="000A2B52" w:rsidRDefault="00D6459D" w:rsidP="00DD267E">
            <w:pPr>
              <w:spacing w:before="240"/>
            </w:pPr>
            <w:r>
              <w:t xml:space="preserve">As and when required </w:t>
            </w:r>
            <w:r w:rsidR="00274C3F">
              <w:t xml:space="preserve"> </w:t>
            </w:r>
          </w:p>
        </w:tc>
      </w:tr>
      <w:tr w:rsidR="00836A55" w14:paraId="39CA6C18" w14:textId="77777777" w:rsidTr="007B4F24">
        <w:tc>
          <w:tcPr>
            <w:tcW w:w="8074" w:type="dxa"/>
            <w:tcBorders>
              <w:left w:val="single" w:sz="4" w:space="0" w:color="auto"/>
              <w:right w:val="single" w:sz="4" w:space="0" w:color="auto"/>
            </w:tcBorders>
          </w:tcPr>
          <w:p w14:paraId="39CA6C15" w14:textId="77777777" w:rsidR="00836A55" w:rsidRPr="000A2B52" w:rsidRDefault="00836A55" w:rsidP="00DD267E">
            <w:pPr>
              <w:spacing w:before="240"/>
            </w:pPr>
          </w:p>
        </w:tc>
        <w:tc>
          <w:tcPr>
            <w:tcW w:w="3545" w:type="dxa"/>
            <w:tcBorders>
              <w:left w:val="single" w:sz="4" w:space="0" w:color="auto"/>
              <w:right w:val="single" w:sz="4" w:space="0" w:color="auto"/>
            </w:tcBorders>
          </w:tcPr>
          <w:p w14:paraId="39CA6C16" w14:textId="77777777" w:rsidR="00836A55" w:rsidRPr="000A2B52" w:rsidRDefault="00836A55" w:rsidP="00DD267E">
            <w:pPr>
              <w:spacing w:before="240"/>
            </w:pPr>
          </w:p>
        </w:tc>
        <w:tc>
          <w:tcPr>
            <w:tcW w:w="3260" w:type="dxa"/>
            <w:tcBorders>
              <w:left w:val="single" w:sz="4" w:space="0" w:color="auto"/>
              <w:right w:val="single" w:sz="4" w:space="0" w:color="auto"/>
            </w:tcBorders>
          </w:tcPr>
          <w:p w14:paraId="39CA6C17" w14:textId="77777777" w:rsidR="00836A55" w:rsidRPr="000A2B52" w:rsidRDefault="00836A55" w:rsidP="00DD267E">
            <w:pPr>
              <w:spacing w:before="240"/>
            </w:pPr>
          </w:p>
        </w:tc>
      </w:tr>
      <w:tr w:rsidR="00C51C24" w14:paraId="39CA6C1C" w14:textId="77777777" w:rsidTr="007B4F24">
        <w:tc>
          <w:tcPr>
            <w:tcW w:w="8074" w:type="dxa"/>
            <w:tcBorders>
              <w:left w:val="single" w:sz="4" w:space="0" w:color="auto"/>
              <w:right w:val="single" w:sz="4" w:space="0" w:color="auto"/>
            </w:tcBorders>
          </w:tcPr>
          <w:p w14:paraId="39CA6C19" w14:textId="77777777" w:rsidR="00C51C24" w:rsidRPr="000A2B52" w:rsidRDefault="00C51C24" w:rsidP="00DD267E">
            <w:pPr>
              <w:spacing w:before="240"/>
            </w:pPr>
          </w:p>
        </w:tc>
        <w:tc>
          <w:tcPr>
            <w:tcW w:w="3545" w:type="dxa"/>
            <w:tcBorders>
              <w:left w:val="single" w:sz="4" w:space="0" w:color="auto"/>
              <w:right w:val="single" w:sz="4" w:space="0" w:color="auto"/>
            </w:tcBorders>
          </w:tcPr>
          <w:p w14:paraId="39CA6C1A" w14:textId="77777777" w:rsidR="00C51C24" w:rsidRPr="000A2B52" w:rsidRDefault="00C51C24" w:rsidP="00DD267E">
            <w:pPr>
              <w:spacing w:before="240"/>
            </w:pPr>
          </w:p>
        </w:tc>
        <w:tc>
          <w:tcPr>
            <w:tcW w:w="3260" w:type="dxa"/>
            <w:tcBorders>
              <w:left w:val="single" w:sz="4" w:space="0" w:color="auto"/>
              <w:right w:val="single" w:sz="4" w:space="0" w:color="auto"/>
            </w:tcBorders>
          </w:tcPr>
          <w:p w14:paraId="39CA6C1B" w14:textId="77777777" w:rsidR="00C51C24" w:rsidRPr="000A2B52" w:rsidRDefault="00C51C24" w:rsidP="00DD267E">
            <w:pPr>
              <w:spacing w:before="240"/>
            </w:pPr>
          </w:p>
        </w:tc>
      </w:tr>
      <w:tr w:rsidR="00C51C24" w14:paraId="39CA6C20" w14:textId="77777777" w:rsidTr="007B4F24">
        <w:tc>
          <w:tcPr>
            <w:tcW w:w="8074" w:type="dxa"/>
            <w:tcBorders>
              <w:left w:val="single" w:sz="4" w:space="0" w:color="auto"/>
              <w:right w:val="single" w:sz="4" w:space="0" w:color="auto"/>
            </w:tcBorders>
          </w:tcPr>
          <w:p w14:paraId="39CA6C1D" w14:textId="77777777" w:rsidR="00C51C24" w:rsidRPr="000A2B52" w:rsidRDefault="00C51C24" w:rsidP="00DD267E">
            <w:pPr>
              <w:spacing w:before="240"/>
            </w:pPr>
          </w:p>
        </w:tc>
        <w:tc>
          <w:tcPr>
            <w:tcW w:w="3545" w:type="dxa"/>
            <w:tcBorders>
              <w:left w:val="single" w:sz="4" w:space="0" w:color="auto"/>
              <w:right w:val="single" w:sz="4" w:space="0" w:color="auto"/>
            </w:tcBorders>
          </w:tcPr>
          <w:p w14:paraId="39CA6C1E" w14:textId="77777777" w:rsidR="00C51C24" w:rsidRPr="000A2B52" w:rsidRDefault="00C51C24" w:rsidP="00DD267E">
            <w:pPr>
              <w:spacing w:before="240"/>
            </w:pPr>
          </w:p>
        </w:tc>
        <w:tc>
          <w:tcPr>
            <w:tcW w:w="3260" w:type="dxa"/>
            <w:tcBorders>
              <w:left w:val="single" w:sz="4" w:space="0" w:color="auto"/>
              <w:right w:val="single" w:sz="4" w:space="0" w:color="auto"/>
            </w:tcBorders>
          </w:tcPr>
          <w:p w14:paraId="39CA6C1F" w14:textId="77777777" w:rsidR="00C51C24" w:rsidRPr="000A2B52" w:rsidRDefault="00C51C24" w:rsidP="00DD267E">
            <w:pPr>
              <w:spacing w:before="240"/>
            </w:pPr>
          </w:p>
        </w:tc>
      </w:tr>
      <w:tr w:rsidR="00C51C24" w14:paraId="39CA6C24" w14:textId="77777777" w:rsidTr="007B4F24">
        <w:tc>
          <w:tcPr>
            <w:tcW w:w="8074" w:type="dxa"/>
            <w:tcBorders>
              <w:left w:val="single" w:sz="4" w:space="0" w:color="auto"/>
              <w:right w:val="single" w:sz="4" w:space="0" w:color="auto"/>
            </w:tcBorders>
          </w:tcPr>
          <w:p w14:paraId="39CA6C21" w14:textId="77777777" w:rsidR="00C51C24" w:rsidRPr="000A2B52" w:rsidRDefault="00C51C24" w:rsidP="00DD267E">
            <w:pPr>
              <w:spacing w:before="240"/>
            </w:pPr>
          </w:p>
        </w:tc>
        <w:tc>
          <w:tcPr>
            <w:tcW w:w="3545" w:type="dxa"/>
            <w:tcBorders>
              <w:left w:val="single" w:sz="4" w:space="0" w:color="auto"/>
              <w:right w:val="single" w:sz="4" w:space="0" w:color="auto"/>
            </w:tcBorders>
          </w:tcPr>
          <w:p w14:paraId="39CA6C22" w14:textId="77777777" w:rsidR="00C51C24" w:rsidRPr="000A2B52" w:rsidRDefault="00C51C24" w:rsidP="00DD267E">
            <w:pPr>
              <w:spacing w:before="240"/>
            </w:pPr>
          </w:p>
        </w:tc>
        <w:tc>
          <w:tcPr>
            <w:tcW w:w="3260" w:type="dxa"/>
            <w:tcBorders>
              <w:left w:val="single" w:sz="4" w:space="0" w:color="auto"/>
              <w:right w:val="single" w:sz="4" w:space="0" w:color="auto"/>
            </w:tcBorders>
          </w:tcPr>
          <w:p w14:paraId="39CA6C23" w14:textId="77777777" w:rsidR="00C51C24" w:rsidRPr="000A2B52" w:rsidRDefault="00C51C24" w:rsidP="00DD267E">
            <w:pPr>
              <w:spacing w:before="240"/>
            </w:pPr>
          </w:p>
        </w:tc>
      </w:tr>
      <w:tr w:rsidR="00C81A1C" w14:paraId="39CA6C26" w14:textId="77777777" w:rsidTr="007B4F24">
        <w:tc>
          <w:tcPr>
            <w:tcW w:w="14879" w:type="dxa"/>
            <w:gridSpan w:val="3"/>
            <w:tcBorders>
              <w:left w:val="single" w:sz="4" w:space="0" w:color="auto"/>
              <w:right w:val="single" w:sz="4" w:space="0" w:color="auto"/>
            </w:tcBorders>
            <w:hideMark/>
          </w:tcPr>
          <w:p w14:paraId="39CA6C25" w14:textId="319BCB52"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655046">
              <w:rPr>
                <w:b/>
              </w:rPr>
              <w:t>Kara Tait</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655046">
              <w:rPr>
                <w:b/>
              </w:rPr>
              <w:t>30/9/20</w:t>
            </w:r>
            <w:bookmarkStart w:id="0" w:name="_GoBack"/>
            <w:bookmarkEnd w:id="0"/>
          </w:p>
        </w:tc>
      </w:tr>
      <w:tr w:rsidR="004175D0" w14:paraId="39CA6C2C" w14:textId="77777777" w:rsidTr="00610DC7">
        <w:trPr>
          <w:trHeight w:val="1118"/>
        </w:trPr>
        <w:tc>
          <w:tcPr>
            <w:tcW w:w="14879" w:type="dxa"/>
            <w:gridSpan w:val="3"/>
            <w:tcBorders>
              <w:left w:val="single" w:sz="4" w:space="0" w:color="auto"/>
              <w:right w:val="single" w:sz="4" w:space="0" w:color="auto"/>
            </w:tcBorders>
          </w:tcPr>
          <w:p w14:paraId="39CA6C27" w14:textId="77777777" w:rsidR="00634366" w:rsidRDefault="00F154F9" w:rsidP="00DD267E">
            <w:pPr>
              <w:spacing w:before="240"/>
              <w:rPr>
                <w:b/>
              </w:rPr>
            </w:pPr>
            <w:r>
              <w:rPr>
                <w:b/>
              </w:rPr>
              <w:t>Step 5 – Review and Publication</w:t>
            </w:r>
          </w:p>
          <w:p w14:paraId="39CA6C28" w14:textId="77777777" w:rsidR="00634366" w:rsidRPr="00634366" w:rsidRDefault="00634366" w:rsidP="00DD267E">
            <w:pPr>
              <w:spacing w:before="240"/>
              <w:rPr>
                <w:sz w:val="20"/>
              </w:rPr>
            </w:pPr>
            <w:r w:rsidRPr="00634366">
              <w:rPr>
                <w:sz w:val="20"/>
              </w:rPr>
              <w:t>See Note 11</w:t>
            </w:r>
          </w:p>
          <w:p w14:paraId="39CA6C29" w14:textId="16151BBF"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B034A7">
              <w:t xml:space="preserve">to </w:t>
            </w:r>
            <w:hyperlink r:id="rId10" w:history="1">
              <w:r w:rsidR="00B034A7" w:rsidRPr="00650D2B">
                <w:rPr>
                  <w:rStyle w:val="Hyperlink"/>
                </w:rPr>
                <w:t>equality@edinburghcollege.ac.uk</w:t>
              </w:r>
            </w:hyperlink>
            <w:r w:rsidR="00B034A7">
              <w:t xml:space="preserve"> </w:t>
            </w:r>
            <w:r w:rsidR="004175D0" w:rsidRPr="00943B03">
              <w:t xml:space="preserve">for </w:t>
            </w:r>
          </w:p>
          <w:p w14:paraId="39CA6C2A" w14:textId="77777777"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14:paraId="39CA6C2B" w14:textId="77777777"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14:paraId="39CA6C2D" w14:textId="77777777"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E4244" w14:textId="77777777" w:rsidR="00617783" w:rsidRDefault="00617783" w:rsidP="00EC6BAC">
      <w:pPr>
        <w:spacing w:after="0" w:line="240" w:lineRule="auto"/>
      </w:pPr>
      <w:r>
        <w:separator/>
      </w:r>
    </w:p>
  </w:endnote>
  <w:endnote w:type="continuationSeparator" w:id="0">
    <w:p w14:paraId="6779B069" w14:textId="77777777" w:rsidR="00617783" w:rsidRDefault="00617783"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77777777" w:rsidR="00F853FE" w:rsidRPr="00EC6BAC" w:rsidRDefault="0065504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21551" w14:textId="77777777" w:rsidR="00617783" w:rsidRDefault="00617783" w:rsidP="00EC6BAC">
      <w:pPr>
        <w:spacing w:after="0" w:line="240" w:lineRule="auto"/>
      </w:pPr>
      <w:r>
        <w:separator/>
      </w:r>
    </w:p>
  </w:footnote>
  <w:footnote w:type="continuationSeparator" w:id="0">
    <w:p w14:paraId="158A876B" w14:textId="77777777" w:rsidR="00617783" w:rsidRDefault="00617783"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40BAC"/>
    <w:rsid w:val="0004481D"/>
    <w:rsid w:val="00046FB6"/>
    <w:rsid w:val="0005032D"/>
    <w:rsid w:val="00051B0F"/>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74C3F"/>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10DC7"/>
    <w:rsid w:val="0061726E"/>
    <w:rsid w:val="00617783"/>
    <w:rsid w:val="0062032F"/>
    <w:rsid w:val="00634366"/>
    <w:rsid w:val="00650DAA"/>
    <w:rsid w:val="006513CB"/>
    <w:rsid w:val="00655046"/>
    <w:rsid w:val="00656F1C"/>
    <w:rsid w:val="0066419E"/>
    <w:rsid w:val="006845D3"/>
    <w:rsid w:val="00692E21"/>
    <w:rsid w:val="00694650"/>
    <w:rsid w:val="006B1897"/>
    <w:rsid w:val="006B7E5C"/>
    <w:rsid w:val="006D0B08"/>
    <w:rsid w:val="006D3F43"/>
    <w:rsid w:val="006F48B0"/>
    <w:rsid w:val="006F4FC8"/>
    <w:rsid w:val="0070228B"/>
    <w:rsid w:val="00706148"/>
    <w:rsid w:val="00706168"/>
    <w:rsid w:val="0070758D"/>
    <w:rsid w:val="00707D4C"/>
    <w:rsid w:val="0071002A"/>
    <w:rsid w:val="007246FF"/>
    <w:rsid w:val="00726620"/>
    <w:rsid w:val="00774188"/>
    <w:rsid w:val="00777F52"/>
    <w:rsid w:val="00783596"/>
    <w:rsid w:val="00792882"/>
    <w:rsid w:val="0079621C"/>
    <w:rsid w:val="00797058"/>
    <w:rsid w:val="007A1C03"/>
    <w:rsid w:val="007A72E3"/>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8268A"/>
    <w:rsid w:val="00995163"/>
    <w:rsid w:val="009975A9"/>
    <w:rsid w:val="009A6C9A"/>
    <w:rsid w:val="009A7D81"/>
    <w:rsid w:val="009C7F64"/>
    <w:rsid w:val="009D46E0"/>
    <w:rsid w:val="009D49E6"/>
    <w:rsid w:val="009D55A4"/>
    <w:rsid w:val="009D7A0F"/>
    <w:rsid w:val="009D7A8C"/>
    <w:rsid w:val="009D7F1F"/>
    <w:rsid w:val="00A072C3"/>
    <w:rsid w:val="00A22B97"/>
    <w:rsid w:val="00A333C2"/>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34A7"/>
    <w:rsid w:val="00B066DF"/>
    <w:rsid w:val="00B140A6"/>
    <w:rsid w:val="00B143E2"/>
    <w:rsid w:val="00B14D93"/>
    <w:rsid w:val="00B43A5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6459D"/>
    <w:rsid w:val="00D75C8B"/>
    <w:rsid w:val="00D77EBC"/>
    <w:rsid w:val="00D8237D"/>
    <w:rsid w:val="00D8661D"/>
    <w:rsid w:val="00DA6FC9"/>
    <w:rsid w:val="00DB3363"/>
    <w:rsid w:val="00DB3B32"/>
    <w:rsid w:val="00DB438C"/>
    <w:rsid w:val="00DB4EBC"/>
    <w:rsid w:val="00DD267E"/>
    <w:rsid w:val="00DD7B32"/>
    <w:rsid w:val="00DE4D25"/>
    <w:rsid w:val="00DE6D25"/>
    <w:rsid w:val="00DF5C73"/>
    <w:rsid w:val="00E00BB0"/>
    <w:rsid w:val="00E061D9"/>
    <w:rsid w:val="00E16238"/>
    <w:rsid w:val="00E21817"/>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quality@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711AD9"/>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CE0B-1EFA-4B51-ABE4-91009A5D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Kara Tait</cp:lastModifiedBy>
  <cp:revision>13</cp:revision>
  <cp:lastPrinted>2015-09-28T10:56:00Z</cp:lastPrinted>
  <dcterms:created xsi:type="dcterms:W3CDTF">2020-09-30T12:11:00Z</dcterms:created>
  <dcterms:modified xsi:type="dcterms:W3CDTF">2020-09-30T13:51:00Z</dcterms:modified>
</cp:coreProperties>
</file>