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8E35C9" w:rsidP="00DE6D25">
            <w:r>
              <w:t>Document Control Procedure</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Pr="00656F1C" w:rsidRDefault="008E35C9" w:rsidP="003E723B">
            <w:r>
              <w:t>Loraine Lyall</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8E35C9" w:rsidP="0027399A">
            <w:r>
              <w:t>04.04.17</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8E35C9" w:rsidP="0061726E">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601794" w:rsidRPr="00B31FE8" w:rsidRDefault="00C7320A" w:rsidP="00601794">
            <w:pPr>
              <w:pStyle w:val="BodyText"/>
              <w:rPr>
                <w:rFonts w:ascii="Arial" w:hAnsi="Arial" w:cs="Arial"/>
                <w:sz w:val="24"/>
                <w:szCs w:val="24"/>
                <w:lang w:eastAsia="en-GB"/>
              </w:rPr>
            </w:pPr>
            <w:r>
              <w:t>.</w:t>
            </w:r>
            <w:r w:rsidR="00601794" w:rsidRPr="00B31FE8">
              <w:rPr>
                <w:rFonts w:ascii="Arial" w:hAnsi="Arial" w:cs="Arial"/>
                <w:sz w:val="24"/>
                <w:szCs w:val="24"/>
                <w:lang w:eastAsia="en-GB"/>
              </w:rPr>
              <w:t>Document Control protocols are employed to:</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Ensure all documents are reviewed</w:t>
            </w:r>
            <w:r>
              <w:rPr>
                <w:rFonts w:ascii="Arial" w:hAnsi="Arial" w:cs="Arial"/>
                <w:sz w:val="24"/>
                <w:szCs w:val="24"/>
                <w:lang w:eastAsia="en-GB"/>
              </w:rPr>
              <w:t xml:space="preserve">, approved </w:t>
            </w:r>
            <w:r w:rsidRPr="00B31FE8">
              <w:rPr>
                <w:rFonts w:ascii="Arial" w:hAnsi="Arial" w:cs="Arial"/>
                <w:sz w:val="24"/>
                <w:szCs w:val="24"/>
                <w:lang w:eastAsia="en-GB"/>
              </w:rPr>
              <w:t>and authorised by appropriate personnel prior to issue.</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Ensure all documents identify current revision status, issue and review dates.</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Ensure relevant, applicable documents are available in a controlled manner.</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Prevent unintended use of obsolete documents.</w:t>
            </w:r>
          </w:p>
          <w:p w:rsidR="00C81A1C" w:rsidRPr="00B62096" w:rsidRDefault="00C81A1C" w:rsidP="003E723B">
            <w:pPr>
              <w:spacing w:before="40"/>
            </w:pP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Default="00C7320A" w:rsidP="003E723B">
            <w:pPr>
              <w:spacing w:before="40"/>
            </w:pPr>
            <w:r>
              <w:t>All staff at Edinburgh College</w:t>
            </w:r>
            <w:r w:rsidR="00582E3E">
              <w:t xml:space="preserve"> will be required to follow the procedure.  Students will be indirectly affected in that they will receive a consistent service when staff comply with the procedure to manage all college procedures.</w:t>
            </w:r>
          </w:p>
          <w:p w:rsidR="00601794" w:rsidRPr="00B62096" w:rsidRDefault="00601794" w:rsidP="003E723B">
            <w:pPr>
              <w:spacing w:before="40"/>
            </w:pP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C7320A" w:rsidRDefault="00582E3E" w:rsidP="00153782">
            <w:pPr>
              <w:spacing w:before="40"/>
              <w:rPr>
                <w:rFonts w:eastAsia="Times New Roman"/>
                <w:lang w:val="en" w:eastAsia="en-GB"/>
              </w:rPr>
            </w:pPr>
            <w:r>
              <w:rPr>
                <w:rFonts w:eastAsia="Times New Roman"/>
                <w:lang w:val="en" w:eastAsia="en-GB"/>
              </w:rPr>
              <w:t>Middle managers Victoria Buchanan and Jackie Maull will review the procedure and Head of Policy, Planning and Performance (Sarah-Jane Linton) will approve it in line with college procedure</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lastRenderedPageBreak/>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582E3E" w:rsidP="0027399A">
            <w:pPr>
              <w:spacing w:before="40"/>
              <w:jc w:val="both"/>
            </w:pPr>
            <w:r>
              <w:t xml:space="preserve">Both staff and students will benefit from the introduction of this procedure which is designed to ensure that all policies and procedures that relate to both staff and students </w:t>
            </w:r>
            <w:r w:rsidR="00601794">
              <w:t xml:space="preserve">(including those in protected groups) </w:t>
            </w:r>
            <w:r>
              <w:t>are reviewed regularly and are kept up to date and in line with changing guidelines and legislation.</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All students and staff, including those with protected characteristics will benefit from the introduction of this procedure.  This is because the procedure is designed to ensure that all college policies and procedures are reviewed on schedule and are kept up-to-date and meet the requirements of the most recent legislation.</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B94D76"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lastRenderedPageBreak/>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893D16" w:rsidP="0066252E">
            <w:pPr>
              <w:spacing w:before="40"/>
              <w:rPr>
                <w:szCs w:val="16"/>
              </w:rPr>
            </w:pPr>
            <w:r>
              <w:rPr>
                <w:szCs w:val="16"/>
              </w:rPr>
              <w:t>n/a</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893D16" w:rsidP="0066252E">
            <w:pPr>
              <w:spacing w:before="40"/>
              <w:rPr>
                <w:szCs w:val="16"/>
              </w:rPr>
            </w:pPr>
            <w:r>
              <w:rPr>
                <w:szCs w:val="16"/>
              </w:rPr>
              <w:t>n/a</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893D16" w:rsidP="004A08E7">
            <w:pPr>
              <w:rPr>
                <w:szCs w:val="16"/>
              </w:rPr>
            </w:pPr>
            <w:r>
              <w:rPr>
                <w:szCs w:val="16"/>
              </w:rPr>
              <w:t>Equality will be advanced by providing a procedure that ensures that the college produces and maintains policies and procedures that are fit for purpose and help us to meet our legal duties.</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893D16" w:rsidP="004A08E7">
            <w:pPr>
              <w:rPr>
                <w:szCs w:val="16"/>
              </w:rPr>
            </w:pPr>
            <w:r>
              <w:rPr>
                <w:szCs w:val="16"/>
              </w:rPr>
              <w:t>Loraine Lyall</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893D16" w:rsidP="009D7A8C">
            <w:pPr>
              <w:rPr>
                <w:szCs w:val="16"/>
              </w:rPr>
            </w:pPr>
            <w:r>
              <w:rPr>
                <w:szCs w:val="16"/>
              </w:rPr>
              <w:t>n/a</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893D16"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893D16" w:rsidP="00DD267E">
            <w:pPr>
              <w:spacing w:before="240"/>
            </w:pPr>
            <w:r>
              <w:t>Monitor the effectiveness of the procedure in ensuring that all college documents are controlled, reviewed, and authorised in order to ensure that legal and regulatory requirements are met.</w:t>
            </w:r>
          </w:p>
        </w:tc>
        <w:tc>
          <w:tcPr>
            <w:tcW w:w="3545" w:type="dxa"/>
            <w:tcBorders>
              <w:left w:val="single" w:sz="4" w:space="0" w:color="auto"/>
              <w:right w:val="single" w:sz="4" w:space="0" w:color="auto"/>
            </w:tcBorders>
          </w:tcPr>
          <w:p w:rsidR="00C51C24" w:rsidRPr="000A2B52" w:rsidRDefault="00893D16" w:rsidP="00DD267E">
            <w:pPr>
              <w:spacing w:before="240"/>
            </w:pPr>
            <w:r>
              <w:t>Loraine Lyall</w:t>
            </w:r>
          </w:p>
        </w:tc>
        <w:tc>
          <w:tcPr>
            <w:tcW w:w="3260" w:type="dxa"/>
            <w:tcBorders>
              <w:left w:val="single" w:sz="4" w:space="0" w:color="auto"/>
              <w:right w:val="single" w:sz="4" w:space="0" w:color="auto"/>
            </w:tcBorders>
          </w:tcPr>
          <w:p w:rsidR="00C51C24" w:rsidRPr="000A2B52" w:rsidRDefault="00987F9E" w:rsidP="00DD267E">
            <w:pPr>
              <w:spacing w:before="240"/>
            </w:pPr>
            <w:r>
              <w:t>April, 2020</w:t>
            </w: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987F9E">
              <w:rPr>
                <w:b/>
              </w:rPr>
              <w:t>Loraine Lyall</w:t>
            </w:r>
            <w:r w:rsidR="00F01FE0">
              <w:rPr>
                <w:sz w:val="20"/>
                <w:szCs w:val="20"/>
              </w:rPr>
              <w:tab/>
            </w:r>
            <w:r w:rsidR="004A7B9E" w:rsidRPr="0066419E">
              <w:rPr>
                <w:sz w:val="22"/>
                <w:szCs w:val="20"/>
              </w:rPr>
              <w:tab/>
            </w:r>
            <w:r>
              <w:rPr>
                <w:b/>
              </w:rPr>
              <w:t>Date:</w:t>
            </w:r>
            <w:r w:rsidR="00B55180">
              <w:rPr>
                <w:b/>
              </w:rPr>
              <w:t xml:space="preserve">  </w:t>
            </w:r>
            <w:r w:rsidR="00987F9E">
              <w:rPr>
                <w:b/>
              </w:rPr>
              <w:t>04.04.17</w:t>
            </w:r>
            <w:bookmarkStart w:id="0" w:name="_GoBack"/>
            <w:bookmarkEnd w:id="0"/>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85474A">
              <w:t xml:space="preserve">to </w:t>
            </w:r>
            <w:hyperlink r:id="rId10" w:history="1">
              <w:r w:rsidR="0085474A" w:rsidRPr="00BB68E5">
                <w:rPr>
                  <w:rStyle w:val="Hyperlink"/>
                </w:rPr>
                <w:t>sara.taylor@edinburghcollege.ac.uk</w:t>
              </w:r>
            </w:hyperlink>
            <w:r w:rsidR="0085474A">
              <w:t xml:space="preserve"> </w:t>
            </w:r>
            <w:r w:rsidR="004175D0" w:rsidRPr="00943B03">
              <w:t xml:space="preserve">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proofErr w:type="gramStart"/>
            <w:r w:rsidRPr="00943B03">
              <w:t>publication</w:t>
            </w:r>
            <w:proofErr w:type="gramEnd"/>
            <w:r w:rsidRPr="00943B03">
              <w:t xml:space="preserve">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987F9E">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A03D9"/>
    <w:multiLevelType w:val="hybridMultilevel"/>
    <w:tmpl w:val="869A2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0"/>
  </w:num>
  <w:num w:numId="5">
    <w:abstractNumId w:val="10"/>
  </w:num>
  <w:num w:numId="6">
    <w:abstractNumId w:val="12"/>
  </w:num>
  <w:num w:numId="7">
    <w:abstractNumId w:val="3"/>
  </w:num>
  <w:num w:numId="8">
    <w:abstractNumId w:val="4"/>
  </w:num>
  <w:num w:numId="9">
    <w:abstractNumId w:val="1"/>
  </w:num>
  <w:num w:numId="10">
    <w:abstractNumId w:val="8"/>
  </w:num>
  <w:num w:numId="11">
    <w:abstractNumId w:val="6"/>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640"/>
    <w:rsid w:val="00323A6A"/>
    <w:rsid w:val="00325293"/>
    <w:rsid w:val="00331C19"/>
    <w:rsid w:val="00337760"/>
    <w:rsid w:val="00340898"/>
    <w:rsid w:val="00343996"/>
    <w:rsid w:val="00345E3E"/>
    <w:rsid w:val="00347AED"/>
    <w:rsid w:val="0035084D"/>
    <w:rsid w:val="00366E64"/>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2E3E"/>
    <w:rsid w:val="00587CA2"/>
    <w:rsid w:val="00590127"/>
    <w:rsid w:val="005950BA"/>
    <w:rsid w:val="005B2EA3"/>
    <w:rsid w:val="005B50FA"/>
    <w:rsid w:val="005B6804"/>
    <w:rsid w:val="005C1F2A"/>
    <w:rsid w:val="005C2CD1"/>
    <w:rsid w:val="005D405A"/>
    <w:rsid w:val="005E2E3B"/>
    <w:rsid w:val="005E5272"/>
    <w:rsid w:val="005E715E"/>
    <w:rsid w:val="005F4827"/>
    <w:rsid w:val="00601794"/>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36A55"/>
    <w:rsid w:val="0084757F"/>
    <w:rsid w:val="00850631"/>
    <w:rsid w:val="00851AC2"/>
    <w:rsid w:val="0085243E"/>
    <w:rsid w:val="0085474A"/>
    <w:rsid w:val="00893D16"/>
    <w:rsid w:val="008A5BD0"/>
    <w:rsid w:val="008B469B"/>
    <w:rsid w:val="008C6AD7"/>
    <w:rsid w:val="008D5F9D"/>
    <w:rsid w:val="008E0C3F"/>
    <w:rsid w:val="008E35C9"/>
    <w:rsid w:val="008F0BB8"/>
    <w:rsid w:val="008F1444"/>
    <w:rsid w:val="0091247F"/>
    <w:rsid w:val="0091480F"/>
    <w:rsid w:val="009229D8"/>
    <w:rsid w:val="00935DF2"/>
    <w:rsid w:val="00936920"/>
    <w:rsid w:val="009434D9"/>
    <w:rsid w:val="00943B03"/>
    <w:rsid w:val="00957B71"/>
    <w:rsid w:val="009748F9"/>
    <w:rsid w:val="009770BB"/>
    <w:rsid w:val="00987F9E"/>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320A"/>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A6FC9"/>
    <w:rsid w:val="00DB3363"/>
    <w:rsid w:val="00DB3B32"/>
    <w:rsid w:val="00DB4EBC"/>
    <w:rsid w:val="00DD267E"/>
    <w:rsid w:val="00DD7B32"/>
    <w:rsid w:val="00DE6D25"/>
    <w:rsid w:val="00DF5C73"/>
    <w:rsid w:val="00E00BB0"/>
    <w:rsid w:val="00E16238"/>
    <w:rsid w:val="00E21817"/>
    <w:rsid w:val="00E3286F"/>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paragraph" w:styleId="BodyText">
    <w:name w:val="Body Text"/>
    <w:basedOn w:val="Normal"/>
    <w:link w:val="BodyTextChar"/>
    <w:rsid w:val="00601794"/>
    <w:pPr>
      <w:tabs>
        <w:tab w:val="left" w:pos="-7200"/>
        <w:tab w:val="left" w:pos="720"/>
        <w:tab w:val="left" w:pos="1440"/>
        <w:tab w:val="left" w:pos="2160"/>
        <w:tab w:val="left" w:pos="2880"/>
        <w:tab w:val="left" w:pos="3600"/>
        <w:tab w:val="left" w:pos="7920"/>
      </w:tabs>
      <w:spacing w:after="120" w:line="240" w:lineRule="auto"/>
    </w:pPr>
    <w:rPr>
      <w:rFonts w:ascii="Univers 45 Light" w:eastAsia="Times New Roman" w:hAnsi="Univers 45 Light" w:cs="Times New Roman"/>
      <w:sz w:val="22"/>
      <w:szCs w:val="20"/>
    </w:rPr>
  </w:style>
  <w:style w:type="character" w:customStyle="1" w:styleId="BodyTextChar">
    <w:name w:val="Body Text Char"/>
    <w:basedOn w:val="DefaultParagraphFont"/>
    <w:link w:val="BodyText"/>
    <w:rsid w:val="00601794"/>
    <w:rPr>
      <w:rFonts w:ascii="Univers 45 Light" w:eastAsia="Times New Roman" w:hAnsi="Univers 45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taylor@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C3CD-4B55-4B16-8AE1-FACFC9D9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Loraine Lyall</cp:lastModifiedBy>
  <cp:revision>7</cp:revision>
  <cp:lastPrinted>2015-09-28T10:56:00Z</cp:lastPrinted>
  <dcterms:created xsi:type="dcterms:W3CDTF">2017-04-04T13:45:00Z</dcterms:created>
  <dcterms:modified xsi:type="dcterms:W3CDTF">2017-04-05T07:51:00Z</dcterms:modified>
</cp:coreProperties>
</file>