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460049" w:rsidP="00DE6D25">
            <w:r>
              <w:t>Exit Interview</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460049" w:rsidP="003E723B">
            <w:r>
              <w:t>Rob Ferns and Alexia Nikas both in HR &amp; OD</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460049" w:rsidP="0027399A">
            <w:r>
              <w:t>19 August 2020.</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1726E" w:rsidP="0061726E"/>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460049" w:rsidP="001C5461">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460049" w:rsidRDefault="00460049" w:rsidP="00460049">
            <w:r>
              <w:t xml:space="preserve">The aim of the Exit Interviews project is to overhaul the current Exit Interview form looking to put this online, we also want to offer a one to one interview for staff leaving with their HR representative. We want to use this information for relevant departments and SMT to act on and implement any feedback for improvement and finally for HR to analyse and monitor trends and statistics. </w:t>
            </w:r>
          </w:p>
          <w:p w:rsidR="00C81A1C" w:rsidRPr="00B62096" w:rsidRDefault="00C81A1C" w:rsidP="003E723B">
            <w:pPr>
              <w:spacing w:before="40"/>
            </w:pP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460049" w:rsidP="003E723B">
            <w:pPr>
              <w:spacing w:before="40"/>
            </w:pPr>
            <w:r>
              <w:t>All staff that leave the College (potentially not those that leave on Fixed Term contracts in the first instance)</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460049" w:rsidRDefault="00460049" w:rsidP="00153782">
            <w:pPr>
              <w:spacing w:before="40"/>
              <w:rPr>
                <w:rFonts w:eastAsia="Times New Roman"/>
                <w:lang w:val="en" w:eastAsia="en-GB"/>
              </w:rPr>
            </w:pPr>
            <w:r w:rsidRPr="00460049">
              <w:rPr>
                <w:rFonts w:eastAsia="Times New Roman"/>
                <w:lang w:val="en" w:eastAsia="en-GB"/>
              </w:rPr>
              <w:t>No direct consultation as this is not a changes to T&amp;Cs however we have worked within HR &amp; OD, with Data Protection and would welcome feedback from the</w:t>
            </w:r>
            <w:r>
              <w:rPr>
                <w:rFonts w:eastAsia="Times New Roman"/>
                <w:lang w:val="en" w:eastAsia="en-GB"/>
              </w:rPr>
              <w:t xml:space="preserve"> </w:t>
            </w:r>
            <w:r w:rsidRPr="00460049">
              <w:rPr>
                <w:rFonts w:eastAsia="Times New Roman"/>
                <w:lang w:val="en" w:eastAsia="en-GB"/>
              </w:rPr>
              <w:t>Equality Team.</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996C01" w:rsidP="0027399A">
            <w:pPr>
              <w:spacing w:before="40"/>
              <w:jc w:val="both"/>
            </w:pPr>
            <w:r>
              <w:t>No specific evidence has been sough</w:t>
            </w:r>
            <w:r w:rsidR="00B706E8">
              <w:t>t.</w:t>
            </w:r>
            <w:r>
              <w:t>.</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996C01" w:rsidRPr="00AF4FFA" w:rsidTr="00E9760D">
        <w:trPr>
          <w:trHeight w:val="624"/>
        </w:trPr>
        <w:tc>
          <w:tcPr>
            <w:tcW w:w="2689" w:type="dxa"/>
            <w:tcBorders>
              <w:top w:val="single" w:sz="4" w:space="0" w:color="auto"/>
            </w:tcBorders>
            <w:shd w:val="clear" w:color="auto" w:fill="FFFFFF" w:themeFill="background1"/>
          </w:tcPr>
          <w:p w:rsidR="00996C01" w:rsidRPr="00483B7F" w:rsidRDefault="00996C01" w:rsidP="00996C01">
            <w:r>
              <w:t>A</w:t>
            </w:r>
            <w:r w:rsidR="00534799">
              <w:t>ll</w:t>
            </w:r>
          </w:p>
        </w:tc>
        <w:tc>
          <w:tcPr>
            <w:tcW w:w="1399" w:type="dxa"/>
            <w:tcBorders>
              <w:top w:val="single" w:sz="4" w:space="0" w:color="auto"/>
            </w:tcBorders>
            <w:shd w:val="clear" w:color="auto" w:fill="FFFFFF" w:themeFill="background1"/>
          </w:tcPr>
          <w:p w:rsidR="00996C01" w:rsidRPr="00AC06CE" w:rsidRDefault="00996C01" w:rsidP="00996C01">
            <w:pPr>
              <w:pStyle w:val="NoSpacing"/>
            </w:pPr>
            <w:r>
              <w:t>Y</w:t>
            </w:r>
          </w:p>
        </w:tc>
        <w:tc>
          <w:tcPr>
            <w:tcW w:w="4166" w:type="dxa"/>
            <w:shd w:val="clear" w:color="auto" w:fill="FFFFFF" w:themeFill="background1"/>
          </w:tcPr>
          <w:p w:rsidR="00996C01" w:rsidRPr="00B62096" w:rsidRDefault="00996C01" w:rsidP="00996C01">
            <w:pPr>
              <w:spacing w:before="40"/>
              <w:rPr>
                <w:szCs w:val="20"/>
              </w:rPr>
            </w:pPr>
            <w:r>
              <w:rPr>
                <w:szCs w:val="20"/>
              </w:rPr>
              <w:t>Potential positive impact as Questionnaire and Interview will be offered to all leavers therefore giving everyone a chance to have their say about their employment.</w:t>
            </w:r>
          </w:p>
        </w:tc>
        <w:tc>
          <w:tcPr>
            <w:tcW w:w="1220" w:type="dxa"/>
            <w:shd w:val="clear" w:color="auto" w:fill="FFFFFF" w:themeFill="background1"/>
          </w:tcPr>
          <w:p w:rsidR="00996C01" w:rsidRPr="00B62096" w:rsidRDefault="00996C01" w:rsidP="00996C01">
            <w:pPr>
              <w:spacing w:before="40"/>
              <w:jc w:val="center"/>
              <w:rPr>
                <w:b/>
                <w:szCs w:val="20"/>
              </w:rPr>
            </w:pPr>
            <w:r>
              <w:rPr>
                <w:b/>
                <w:szCs w:val="20"/>
              </w:rPr>
              <w:t>Y</w:t>
            </w:r>
          </w:p>
        </w:tc>
        <w:tc>
          <w:tcPr>
            <w:tcW w:w="5265" w:type="dxa"/>
            <w:shd w:val="clear" w:color="auto" w:fill="FFFFFF" w:themeFill="background1"/>
          </w:tcPr>
          <w:p w:rsidR="00996C01" w:rsidRDefault="00996C01" w:rsidP="00996C01">
            <w:r w:rsidRPr="00620F40">
              <w:rPr>
                <w:szCs w:val="20"/>
              </w:rPr>
              <w:t xml:space="preserve">We plan to ask a question </w:t>
            </w:r>
            <w:r w:rsidR="00534799">
              <w:rPr>
                <w:szCs w:val="20"/>
              </w:rPr>
              <w:t xml:space="preserve">around our Dignity &amp; Respect policy and whether employees feel they have experienced behaviours that have been </w:t>
            </w:r>
            <w:proofErr w:type="spellStart"/>
            <w:r w:rsidR="00534799">
              <w:rPr>
                <w:szCs w:val="20"/>
              </w:rPr>
              <w:t>outwith</w:t>
            </w:r>
            <w:proofErr w:type="spellEnd"/>
            <w:r w:rsidR="00534799">
              <w:rPr>
                <w:szCs w:val="20"/>
              </w:rPr>
              <w:t xml:space="preserve"> those detailed in the policy. </w:t>
            </w:r>
            <w:r w:rsidRPr="00620F40">
              <w:rPr>
                <w:szCs w:val="20"/>
              </w:rPr>
              <w:t>People may feel they have had a bad experience and answer this negatively however it would hopefully lead to good outcomes.</w:t>
            </w:r>
          </w:p>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Pr="00483B7F"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r w:rsidR="00534799" w:rsidRPr="00AF4FFA" w:rsidTr="00E9760D">
        <w:trPr>
          <w:trHeight w:val="624"/>
        </w:trPr>
        <w:tc>
          <w:tcPr>
            <w:tcW w:w="2689" w:type="dxa"/>
            <w:tcBorders>
              <w:top w:val="single" w:sz="4" w:space="0" w:color="auto"/>
            </w:tcBorders>
            <w:shd w:val="clear" w:color="auto" w:fill="FFFFFF" w:themeFill="background1"/>
          </w:tcPr>
          <w:p w:rsidR="00534799" w:rsidRDefault="00534799" w:rsidP="00996C01"/>
        </w:tc>
        <w:tc>
          <w:tcPr>
            <w:tcW w:w="1399" w:type="dxa"/>
            <w:tcBorders>
              <w:top w:val="single" w:sz="4" w:space="0" w:color="auto"/>
            </w:tcBorders>
            <w:shd w:val="clear" w:color="auto" w:fill="FFFFFF" w:themeFill="background1"/>
          </w:tcPr>
          <w:p w:rsidR="00534799" w:rsidRDefault="00534799" w:rsidP="00996C01"/>
        </w:tc>
        <w:tc>
          <w:tcPr>
            <w:tcW w:w="4166" w:type="dxa"/>
            <w:shd w:val="clear" w:color="auto" w:fill="FFFFFF" w:themeFill="background1"/>
          </w:tcPr>
          <w:p w:rsidR="00534799" w:rsidRPr="00B62096" w:rsidRDefault="00534799" w:rsidP="00996C01">
            <w:pPr>
              <w:spacing w:before="40"/>
              <w:rPr>
                <w:szCs w:val="20"/>
              </w:rPr>
            </w:pPr>
          </w:p>
        </w:tc>
        <w:tc>
          <w:tcPr>
            <w:tcW w:w="1220" w:type="dxa"/>
            <w:shd w:val="clear" w:color="auto" w:fill="FFFFFF" w:themeFill="background1"/>
          </w:tcPr>
          <w:p w:rsidR="00534799" w:rsidRPr="00B62096" w:rsidRDefault="00534799" w:rsidP="00996C01">
            <w:pPr>
              <w:spacing w:before="40"/>
              <w:jc w:val="center"/>
              <w:rPr>
                <w:b/>
                <w:szCs w:val="20"/>
              </w:rPr>
            </w:pPr>
          </w:p>
        </w:tc>
        <w:tc>
          <w:tcPr>
            <w:tcW w:w="5265" w:type="dxa"/>
            <w:shd w:val="clear" w:color="auto" w:fill="FFFFFF" w:themeFill="background1"/>
          </w:tcPr>
          <w:p w:rsidR="00534799" w:rsidRDefault="00534799" w:rsidP="00996C01"/>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996C01" w:rsidP="0066252E">
            <w:pPr>
              <w:spacing w:before="40"/>
              <w:rPr>
                <w:szCs w:val="16"/>
              </w:rPr>
            </w:pPr>
            <w:r>
              <w:rPr>
                <w:szCs w:val="16"/>
              </w:rPr>
              <w:t>None that I can see – the Exit questionnaire is voluntary and followed up by an Exit Interview if the employee wishes. We are also seeking view on protected characteristics in the hope to improve.</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996C01" w:rsidP="0066252E">
            <w:pPr>
              <w:spacing w:before="40"/>
              <w:rPr>
                <w:szCs w:val="16"/>
              </w:rPr>
            </w:pPr>
            <w:r>
              <w:rPr>
                <w:szCs w:val="16"/>
              </w:rPr>
              <w:t>Not that I am aware of.</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C96FA6" w:rsidP="004A08E7">
            <w:pPr>
              <w:rPr>
                <w:szCs w:val="16"/>
              </w:rPr>
            </w:pPr>
            <w:r>
              <w:rPr>
                <w:szCs w:val="16"/>
              </w:rPr>
              <w:t>Acting on the feedback from these Exit Interviews</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C96FA6" w:rsidP="004A08E7">
            <w:pPr>
              <w:rPr>
                <w:szCs w:val="16"/>
              </w:rPr>
            </w:pPr>
            <w:r>
              <w:rPr>
                <w:szCs w:val="16"/>
              </w:rPr>
              <w:t>Rob Ferns (HR Advisor)</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4A08E7" w:rsidP="009D7A8C">
            <w:pPr>
              <w:rPr>
                <w:szCs w:val="16"/>
              </w:rPr>
            </w:pP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81A1C" w:rsidP="0044724F">
            <w:pPr>
              <w:spacing w:before="120"/>
              <w:rPr>
                <w:b/>
                <w:sz w:val="20"/>
                <w:szCs w:val="20"/>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C96FA6" w:rsidP="002A3745">
            <w:pPr>
              <w:spacing w:before="240"/>
              <w:rPr>
                <w:sz w:val="20"/>
                <w:szCs w:val="20"/>
              </w:rPr>
            </w:pPr>
            <w:r>
              <w:rPr>
                <w:sz w:val="20"/>
                <w:szCs w:val="20"/>
              </w:rPr>
              <w:t>May need some help on wording of question and completion of this form.</w:t>
            </w: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534799" w:rsidP="00DD267E">
            <w:pPr>
              <w:spacing w:before="240"/>
            </w:pPr>
            <w:r>
              <w:t>Implement and improve on any feedback from questionnaire</w:t>
            </w:r>
          </w:p>
        </w:tc>
        <w:tc>
          <w:tcPr>
            <w:tcW w:w="3545" w:type="dxa"/>
            <w:tcBorders>
              <w:left w:val="single" w:sz="4" w:space="0" w:color="auto"/>
              <w:right w:val="single" w:sz="4" w:space="0" w:color="auto"/>
            </w:tcBorders>
          </w:tcPr>
          <w:p w:rsidR="00C51C24" w:rsidRPr="000A2B52" w:rsidRDefault="00534799" w:rsidP="00DD267E">
            <w:pPr>
              <w:spacing w:before="240"/>
            </w:pPr>
            <w:r>
              <w:t>SMT, Exec</w:t>
            </w:r>
          </w:p>
        </w:tc>
        <w:tc>
          <w:tcPr>
            <w:tcW w:w="3260" w:type="dxa"/>
            <w:tcBorders>
              <w:left w:val="single" w:sz="4" w:space="0" w:color="auto"/>
              <w:right w:val="single" w:sz="4" w:space="0" w:color="auto"/>
            </w:tcBorders>
          </w:tcPr>
          <w:p w:rsidR="00C51C24" w:rsidRPr="000A2B52" w:rsidRDefault="00534799" w:rsidP="00DD267E">
            <w:pPr>
              <w:spacing w:before="240"/>
            </w:pPr>
            <w:r>
              <w:t>When reports are given</w:t>
            </w:r>
          </w:p>
        </w:tc>
      </w:tr>
      <w:tr w:rsidR="00836A55" w:rsidTr="007B4F24">
        <w:tc>
          <w:tcPr>
            <w:tcW w:w="8074" w:type="dxa"/>
            <w:tcBorders>
              <w:left w:val="single" w:sz="4" w:space="0" w:color="auto"/>
              <w:right w:val="single" w:sz="4" w:space="0" w:color="auto"/>
            </w:tcBorders>
          </w:tcPr>
          <w:p w:rsidR="00836A55" w:rsidRPr="000A2B52" w:rsidRDefault="00FD7635" w:rsidP="00DD267E">
            <w:pPr>
              <w:spacing w:before="240"/>
            </w:pPr>
            <w:r>
              <w:t>Monthly or quarterly stats/high level reports to be given to SMT</w:t>
            </w:r>
          </w:p>
        </w:tc>
        <w:tc>
          <w:tcPr>
            <w:tcW w:w="3545" w:type="dxa"/>
            <w:tcBorders>
              <w:left w:val="single" w:sz="4" w:space="0" w:color="auto"/>
              <w:right w:val="single" w:sz="4" w:space="0" w:color="auto"/>
            </w:tcBorders>
          </w:tcPr>
          <w:p w:rsidR="00836A55" w:rsidRPr="000A2B52" w:rsidRDefault="00FD7635" w:rsidP="00DD267E">
            <w:pPr>
              <w:spacing w:before="240"/>
            </w:pPr>
            <w:r>
              <w:t>HR</w:t>
            </w:r>
          </w:p>
        </w:tc>
        <w:tc>
          <w:tcPr>
            <w:tcW w:w="3260" w:type="dxa"/>
            <w:tcBorders>
              <w:left w:val="single" w:sz="4" w:space="0" w:color="auto"/>
              <w:right w:val="single" w:sz="4" w:space="0" w:color="auto"/>
            </w:tcBorders>
          </w:tcPr>
          <w:p w:rsidR="00836A55" w:rsidRPr="000A2B52" w:rsidRDefault="00FD7635" w:rsidP="00DD267E">
            <w:pPr>
              <w:spacing w:before="240"/>
            </w:pPr>
            <w:r>
              <w:t>Monthly/quarterly</w:t>
            </w:r>
            <w:bookmarkStart w:id="0" w:name="_GoBack"/>
            <w:bookmarkEnd w:id="0"/>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534799">
              <w:rPr>
                <w:sz w:val="20"/>
                <w:szCs w:val="20"/>
              </w:rPr>
              <w:t>RF</w:t>
            </w:r>
            <w:r w:rsidR="004A7B9E" w:rsidRPr="0066419E">
              <w:rPr>
                <w:sz w:val="22"/>
                <w:szCs w:val="20"/>
              </w:rPr>
              <w:tab/>
            </w:r>
            <w:r>
              <w:rPr>
                <w:b/>
              </w:rPr>
              <w:t>Date:</w:t>
            </w:r>
            <w:r w:rsidR="00B55180">
              <w:rPr>
                <w:b/>
              </w:rPr>
              <w:t xml:space="preserve">  </w:t>
            </w:r>
            <w:r w:rsidR="00534799">
              <w:rPr>
                <w:b/>
              </w:rPr>
              <w:t>25/11/2020</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0"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FE" w:rsidRPr="00EC6BAC" w:rsidRDefault="00FD763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60049"/>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34799"/>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6C01"/>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706E8"/>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81A1C"/>
    <w:rsid w:val="00C85426"/>
    <w:rsid w:val="00C91BE9"/>
    <w:rsid w:val="00C9206B"/>
    <w:rsid w:val="00C96FA6"/>
    <w:rsid w:val="00C96FE3"/>
    <w:rsid w:val="00CA1013"/>
    <w:rsid w:val="00CC15A8"/>
    <w:rsid w:val="00CE01C1"/>
    <w:rsid w:val="00D234C4"/>
    <w:rsid w:val="00D534BE"/>
    <w:rsid w:val="00D56CEC"/>
    <w:rsid w:val="00D605DD"/>
    <w:rsid w:val="00D60C67"/>
    <w:rsid w:val="00D612B4"/>
    <w:rsid w:val="00D75C8B"/>
    <w:rsid w:val="00D77EBC"/>
    <w:rsid w:val="00D8237D"/>
    <w:rsid w:val="00DA6FC9"/>
    <w:rsid w:val="00DB3363"/>
    <w:rsid w:val="00DB3B32"/>
    <w:rsid w:val="00DB4EBC"/>
    <w:rsid w:val="00DD267E"/>
    <w:rsid w:val="00DD7B32"/>
    <w:rsid w:val="00DE6D25"/>
    <w:rsid w:val="00DF5C73"/>
    <w:rsid w:val="00E00BB0"/>
    <w:rsid w:val="00E16238"/>
    <w:rsid w:val="00E21817"/>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D7635"/>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AFC0C8D"/>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6A95-C294-4D96-A55E-F90094E5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Robert Ferns</cp:lastModifiedBy>
  <cp:revision>7</cp:revision>
  <cp:lastPrinted>2015-09-28T10:56:00Z</cp:lastPrinted>
  <dcterms:created xsi:type="dcterms:W3CDTF">2017-04-05T08:24:00Z</dcterms:created>
  <dcterms:modified xsi:type="dcterms:W3CDTF">2020-11-25T16:30:00Z</dcterms:modified>
</cp:coreProperties>
</file>