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39"/>
        <w:gridCol w:w="1242"/>
        <w:gridCol w:w="1898"/>
        <w:gridCol w:w="3549"/>
        <w:gridCol w:w="1583"/>
        <w:gridCol w:w="141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7D5D9A" w:rsidP="00DE6D25">
            <w:r>
              <w:t>Waste &amp; recycling Policy</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61726E" w:rsidRDefault="007D5D9A" w:rsidP="003E723B">
            <w:r>
              <w:t>Sustainability Officer</w:t>
            </w:r>
          </w:p>
          <w:p w:rsidR="007D5D9A" w:rsidRDefault="007D5D9A" w:rsidP="003E723B">
            <w:r>
              <w:t>Equalities Officer</w:t>
            </w:r>
          </w:p>
          <w:p w:rsidR="00F11918" w:rsidRPr="00656F1C" w:rsidRDefault="00F11918" w:rsidP="003E723B">
            <w:r>
              <w:t>Head of Estates</w:t>
            </w:r>
          </w:p>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F11918" w:rsidP="0027399A">
            <w:r>
              <w:t>3</w:t>
            </w:r>
            <w:r w:rsidR="00750E0D">
              <w:t>0</w:t>
            </w:r>
            <w:r w:rsidR="007D5D9A">
              <w:t>/06/2016</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7D5D9A" w:rsidP="0061726E">
            <w:r>
              <w:t xml:space="preserve"> 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0D4A08" w:rsidRDefault="00AD035A" w:rsidP="003E723B">
            <w:pPr>
              <w:spacing w:before="40"/>
            </w:pPr>
            <w:r>
              <w:t xml:space="preserve">The purpose of the Waste and Recycling Policy is to formalise the College’s commitment to becoming more sustainable with regard to waste. </w:t>
            </w:r>
            <w:r w:rsidR="000D4A08">
              <w:t xml:space="preserve">As a public body the Scottish Government, through the Climate Change (Scotland) Act 2009 expects us to reduce emissions and act sustainably.  In order to do this this policy adheres to the principles of the waste hierarchy.   Specific Waste Regulation also apply and we are legally required to manage our waste in accordance with those regulations.  .  </w:t>
            </w:r>
          </w:p>
          <w:p w:rsidR="000D4A08" w:rsidRDefault="000D4A08" w:rsidP="003E723B">
            <w:pPr>
              <w:spacing w:before="40"/>
            </w:pPr>
          </w:p>
          <w:p w:rsidR="00C81A1C" w:rsidRDefault="00AD035A" w:rsidP="003E723B">
            <w:pPr>
              <w:spacing w:before="40"/>
            </w:pPr>
            <w:r>
              <w:t>This policy</w:t>
            </w:r>
            <w:r w:rsidR="000D4A08">
              <w:t>,</w:t>
            </w:r>
            <w:r>
              <w:t xml:space="preserve"> along with the recommended management system will help to achieve this.  Costs savings are also important as we spend around £150,000 on waste collections per year.  That doesn’t include the costs associated with waste handing (cleaners, bin liners, bins) and the cost of the material we are throwing away, which can be significant.  For example, the average value of 1 tonne of food waste is £1800, in 2013-14 the College produced 20 tonnes of food waste.  Significant fines (tens of thousands) can also be levied if we are non-compliant.</w:t>
            </w:r>
          </w:p>
          <w:p w:rsidR="000D4A08" w:rsidRDefault="000D4A08" w:rsidP="003E723B">
            <w:pPr>
              <w:spacing w:before="40"/>
            </w:pPr>
            <w:r>
              <w:br/>
              <w:t xml:space="preserve">Recycling is one of the highest profile sustainable actions a person can </w:t>
            </w:r>
            <w:r>
              <w:lastRenderedPageBreak/>
              <w:t>participate</w:t>
            </w:r>
            <w:r w:rsidR="00F11918">
              <w:t xml:space="preserve"> in</w:t>
            </w:r>
            <w:r>
              <w:t xml:space="preserve">.  This policy aims to encourage such good practice within our students, staff and communities.  </w:t>
            </w:r>
          </w:p>
          <w:p w:rsidR="00AD035A" w:rsidRDefault="00AD035A" w:rsidP="003E723B">
            <w:pPr>
              <w:spacing w:before="40"/>
            </w:pPr>
          </w:p>
          <w:p w:rsidR="00AD035A" w:rsidRPr="00B62096" w:rsidRDefault="00AD035A" w:rsidP="003E723B">
            <w:pPr>
              <w:spacing w:before="40"/>
            </w:pPr>
            <w:r>
              <w:t xml:space="preserve">In 2013-14 the recycling rate </w:t>
            </w:r>
            <w:r w:rsidR="000D4A08">
              <w:t xml:space="preserve">in the College </w:t>
            </w:r>
            <w:r>
              <w:t xml:space="preserve">was 27% which is poor compared with our peers.  This policy will help to reverse that in </w:t>
            </w:r>
            <w:r w:rsidR="000D4A08">
              <w:t>the near</w:t>
            </w:r>
            <w:r>
              <w:t xml:space="preserve"> future.  </w:t>
            </w: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lastRenderedPageBreak/>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Pr="00B62096" w:rsidRDefault="000D4A08" w:rsidP="00AD035A">
            <w:pPr>
              <w:spacing w:before="40"/>
            </w:pPr>
            <w:r>
              <w:t>Staff, Students,</w:t>
            </w:r>
            <w:r w:rsidR="00AD035A">
              <w:t xml:space="preserve"> contractors</w:t>
            </w:r>
            <w:r>
              <w:t xml:space="preserve"> and in broader sense our communities. </w:t>
            </w: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AD035A" w:rsidRDefault="00AD035A" w:rsidP="00153782">
            <w:pPr>
              <w:spacing w:before="40"/>
              <w:rPr>
                <w:rFonts w:eastAsia="Times New Roman"/>
                <w:lang w:val="en" w:eastAsia="en-GB"/>
              </w:rPr>
            </w:pPr>
            <w:r w:rsidRPr="00AD035A">
              <w:rPr>
                <w:rFonts w:eastAsia="Times New Roman"/>
                <w:lang w:val="en" w:eastAsia="en-GB"/>
              </w:rPr>
              <w:t xml:space="preserve">Consultation has taken place through Sustainability Steering Group, Health and Safety Committee, Senior Management Group, Policy and Resources Committee.  A waste focus group </w:t>
            </w:r>
            <w:r w:rsidR="000D4A08">
              <w:rPr>
                <w:rFonts w:eastAsia="Times New Roman"/>
                <w:lang w:val="en" w:eastAsia="en-GB"/>
              </w:rPr>
              <w:t xml:space="preserve">and survey </w:t>
            </w:r>
            <w:r w:rsidRPr="00AD035A">
              <w:rPr>
                <w:rFonts w:eastAsia="Times New Roman"/>
                <w:lang w:val="en" w:eastAsia="en-GB"/>
              </w:rPr>
              <w:t xml:space="preserve">was also held. </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Pr="00B62096" w:rsidRDefault="00AD035A" w:rsidP="000D4A08">
            <w:pPr>
              <w:spacing w:before="40"/>
              <w:jc w:val="both"/>
            </w:pPr>
            <w:r>
              <w:t xml:space="preserve">There is anecdotal evidence that this policy will enhance the environment within the </w:t>
            </w:r>
            <w:r w:rsidR="000D4A08">
              <w:t>C</w:t>
            </w:r>
            <w:r>
              <w:t xml:space="preserve">ollege and not </w:t>
            </w:r>
            <w:r w:rsidR="000D4A08">
              <w:t xml:space="preserve">significantly </w:t>
            </w:r>
            <w:r>
              <w:t>adve</w:t>
            </w:r>
            <w:r w:rsidR="000D4A08">
              <w:t>rsely affect any of those groups negatively</w:t>
            </w:r>
            <w:r>
              <w:t>.   In many cases the policy</w:t>
            </w:r>
            <w:r w:rsidR="000D4A08">
              <w:t xml:space="preserve"> is already in place (in parts of the college) and </w:t>
            </w:r>
            <w:r>
              <w:t>require</w:t>
            </w:r>
            <w:r w:rsidR="000D4A08">
              <w:t>s</w:t>
            </w:r>
            <w:r>
              <w:t xml:space="preserve"> rolling out across campus</w:t>
            </w:r>
            <w:r w:rsidR="000D4A08">
              <w:t>es to be consistent.</w:t>
            </w: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 xml:space="preserve">Eliminating discrimination, </w:t>
            </w:r>
            <w:r w:rsidRPr="00A133AF">
              <w:rPr>
                <w:b/>
                <w:sz w:val="28"/>
              </w:rPr>
              <w:lastRenderedPageBreak/>
              <w:t>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lastRenderedPageBreak/>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lastRenderedPageBreak/>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lastRenderedPageBreak/>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lastRenderedPageBreak/>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lastRenderedPageBreak/>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AC06CE" w:rsidRDefault="00E33229" w:rsidP="00AC06CE">
            <w:pPr>
              <w:pStyle w:val="NoSpacing"/>
            </w:pPr>
            <w:r>
              <w:t>Y</w:t>
            </w:r>
          </w:p>
        </w:tc>
        <w:tc>
          <w:tcPr>
            <w:tcW w:w="4166" w:type="dxa"/>
            <w:shd w:val="clear" w:color="auto" w:fill="FFFFFF" w:themeFill="background1"/>
          </w:tcPr>
          <w:p w:rsidR="00E33229" w:rsidRDefault="00E33229" w:rsidP="00E33229">
            <w:pPr>
              <w:spacing w:before="40"/>
              <w:rPr>
                <w:szCs w:val="20"/>
              </w:rPr>
            </w:pPr>
            <w:r>
              <w:rPr>
                <w:szCs w:val="20"/>
              </w:rPr>
              <w:t xml:space="preserve">Recycling facilities have been improved and are much easier to access than previously.  </w:t>
            </w:r>
          </w:p>
          <w:p w:rsidR="00E33229" w:rsidRDefault="00E33229" w:rsidP="00E33229">
            <w:pPr>
              <w:spacing w:before="40"/>
              <w:rPr>
                <w:szCs w:val="20"/>
              </w:rPr>
            </w:pPr>
          </w:p>
          <w:p w:rsidR="00E9760D" w:rsidRPr="00B62096" w:rsidRDefault="00E33229" w:rsidP="00E33229">
            <w:pPr>
              <w:spacing w:before="40"/>
              <w:rPr>
                <w:szCs w:val="20"/>
              </w:rPr>
            </w:pPr>
            <w:r>
              <w:rPr>
                <w:szCs w:val="20"/>
              </w:rPr>
              <w:t xml:space="preserve">Signage is now standardised across the college and much clearer than previously.  </w:t>
            </w:r>
          </w:p>
        </w:tc>
        <w:tc>
          <w:tcPr>
            <w:tcW w:w="1220" w:type="dxa"/>
            <w:shd w:val="clear" w:color="auto" w:fill="FFFFFF" w:themeFill="background1"/>
          </w:tcPr>
          <w:p w:rsidR="00E9760D" w:rsidRPr="00B62096" w:rsidRDefault="00E33229" w:rsidP="00EC4E61">
            <w:pPr>
              <w:spacing w:before="40"/>
              <w:jc w:val="center"/>
              <w:rPr>
                <w:b/>
                <w:szCs w:val="20"/>
              </w:rPr>
            </w:pPr>
            <w:r>
              <w:rPr>
                <w:b/>
                <w:szCs w:val="20"/>
              </w:rPr>
              <w:t>Y</w:t>
            </w:r>
          </w:p>
        </w:tc>
        <w:tc>
          <w:tcPr>
            <w:tcW w:w="5265" w:type="dxa"/>
            <w:shd w:val="clear" w:color="auto" w:fill="FFFFFF" w:themeFill="background1"/>
          </w:tcPr>
          <w:p w:rsidR="00E33229" w:rsidRDefault="00E33229" w:rsidP="00E33229">
            <w:pPr>
              <w:spacing w:before="40"/>
              <w:rPr>
                <w:szCs w:val="20"/>
              </w:rPr>
            </w:pPr>
            <w:r>
              <w:rPr>
                <w:szCs w:val="20"/>
              </w:rPr>
              <w:t>Removal of bins from classrooms could make distance to bin further.  But communal facilities are located throughout the college</w:t>
            </w:r>
            <w:r w:rsidR="00817411">
              <w:rPr>
                <w:szCs w:val="20"/>
              </w:rPr>
              <w:t xml:space="preserve"> and in many cases there will be no change</w:t>
            </w:r>
            <w:r>
              <w:rPr>
                <w:szCs w:val="20"/>
              </w:rPr>
              <w:t xml:space="preserve">. </w:t>
            </w:r>
          </w:p>
          <w:p w:rsidR="00E33229" w:rsidRDefault="00E33229" w:rsidP="00E33229">
            <w:pPr>
              <w:spacing w:before="40"/>
              <w:rPr>
                <w:szCs w:val="20"/>
              </w:rPr>
            </w:pPr>
          </w:p>
          <w:p w:rsidR="00E9760D" w:rsidRPr="00B62096" w:rsidRDefault="00E33229" w:rsidP="00E33229">
            <w:pPr>
              <w:spacing w:before="40"/>
              <w:rPr>
                <w:szCs w:val="20"/>
              </w:rPr>
            </w:pPr>
            <w:r>
              <w:rPr>
                <w:szCs w:val="20"/>
              </w:rPr>
              <w:t>Eating not allowed in classrooms as generates waste.  Policy has an exemption for those that might need to eat for medical or other reasons.</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CF6AC5" w:rsidP="00AC06CE">
            <w:pPr>
              <w:pStyle w:val="NoSpacing"/>
            </w:pPr>
            <w:r>
              <w:t>Y</w:t>
            </w:r>
          </w:p>
        </w:tc>
        <w:tc>
          <w:tcPr>
            <w:tcW w:w="4166" w:type="dxa"/>
            <w:shd w:val="clear" w:color="auto" w:fill="FFFFFF" w:themeFill="background1"/>
          </w:tcPr>
          <w:p w:rsidR="00E9760D" w:rsidRDefault="00CF6AC5" w:rsidP="006F48B0">
            <w:pPr>
              <w:spacing w:before="40"/>
              <w:rPr>
                <w:szCs w:val="20"/>
              </w:rPr>
            </w:pPr>
            <w:r>
              <w:rPr>
                <w:szCs w:val="20"/>
              </w:rPr>
              <w:t xml:space="preserve">Recycling facilities have been improved and are much easier to access than previously.  </w:t>
            </w:r>
          </w:p>
          <w:p w:rsidR="00E33229" w:rsidRDefault="00E33229" w:rsidP="006F48B0">
            <w:pPr>
              <w:spacing w:before="40"/>
              <w:rPr>
                <w:szCs w:val="20"/>
              </w:rPr>
            </w:pPr>
          </w:p>
          <w:p w:rsidR="00E33229" w:rsidRPr="00B62096" w:rsidRDefault="00E33229" w:rsidP="006F48B0">
            <w:pPr>
              <w:spacing w:before="40"/>
              <w:rPr>
                <w:szCs w:val="20"/>
              </w:rPr>
            </w:pPr>
            <w:r>
              <w:rPr>
                <w:szCs w:val="20"/>
              </w:rPr>
              <w:t xml:space="preserve">Signage is now standardised across the college and much clearer than previously.  </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Y</w:t>
            </w:r>
          </w:p>
        </w:tc>
        <w:tc>
          <w:tcPr>
            <w:tcW w:w="5265" w:type="dxa"/>
            <w:shd w:val="clear" w:color="auto" w:fill="FFFFFF" w:themeFill="background1"/>
          </w:tcPr>
          <w:p w:rsidR="00817411" w:rsidRDefault="00817411" w:rsidP="00817411">
            <w:pPr>
              <w:spacing w:before="40"/>
              <w:rPr>
                <w:szCs w:val="20"/>
              </w:rPr>
            </w:pPr>
            <w:r>
              <w:rPr>
                <w:szCs w:val="20"/>
              </w:rPr>
              <w:t xml:space="preserve">Removal of bins from classrooms could make distance to bin further.  But communal facilities are located throughout the college and in many cases there will be no change. </w:t>
            </w:r>
          </w:p>
          <w:p w:rsidR="00817411" w:rsidRDefault="00817411" w:rsidP="00817411">
            <w:pPr>
              <w:spacing w:before="40"/>
              <w:rPr>
                <w:szCs w:val="20"/>
              </w:rPr>
            </w:pPr>
          </w:p>
          <w:p w:rsidR="00E9760D" w:rsidRPr="00B62096" w:rsidRDefault="00817411" w:rsidP="00817411">
            <w:pPr>
              <w:spacing w:before="40"/>
              <w:rPr>
                <w:szCs w:val="20"/>
              </w:rPr>
            </w:pPr>
            <w:r>
              <w:rPr>
                <w:szCs w:val="20"/>
              </w:rPr>
              <w:t>Eating not allowed in classrooms as generates waste.  Policy has an exemption for those that might need to eat for medical or other reasons.</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CF6AC5" w:rsidP="00AC06CE">
            <w:pPr>
              <w:pStyle w:val="NoSpacing"/>
            </w:pPr>
            <w:r>
              <w:t>N</w:t>
            </w:r>
          </w:p>
        </w:tc>
        <w:tc>
          <w:tcPr>
            <w:tcW w:w="4166" w:type="dxa"/>
            <w:shd w:val="clear" w:color="auto" w:fill="FFFFFF" w:themeFill="background1"/>
          </w:tcPr>
          <w:p w:rsidR="00B94D76" w:rsidRPr="00B62096" w:rsidRDefault="00B94D76" w:rsidP="006F48B0">
            <w:pPr>
              <w:spacing w:before="40"/>
              <w:rPr>
                <w:szCs w:val="20"/>
              </w:rPr>
            </w:pP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CF6AC5"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E33229" w:rsidP="00AC06CE">
            <w:pPr>
              <w:pStyle w:val="NoSpacing"/>
            </w:pPr>
            <w:r>
              <w:t>Y</w:t>
            </w:r>
          </w:p>
        </w:tc>
        <w:tc>
          <w:tcPr>
            <w:tcW w:w="4166" w:type="dxa"/>
            <w:shd w:val="clear" w:color="auto" w:fill="FFFFFF" w:themeFill="background1"/>
          </w:tcPr>
          <w:p w:rsidR="00E33229" w:rsidRDefault="00E33229" w:rsidP="00E33229">
            <w:pPr>
              <w:spacing w:before="40"/>
              <w:rPr>
                <w:szCs w:val="20"/>
              </w:rPr>
            </w:pPr>
            <w:r>
              <w:rPr>
                <w:szCs w:val="20"/>
              </w:rPr>
              <w:t xml:space="preserve">Recycling facilities have been improved and are much easier to access than previously.  </w:t>
            </w:r>
          </w:p>
          <w:p w:rsidR="00E33229" w:rsidRDefault="00E33229" w:rsidP="00E33229">
            <w:pPr>
              <w:spacing w:before="40"/>
              <w:rPr>
                <w:szCs w:val="20"/>
              </w:rPr>
            </w:pPr>
          </w:p>
          <w:p w:rsidR="00E9760D" w:rsidRPr="00B62096" w:rsidRDefault="00E33229" w:rsidP="00E33229">
            <w:pPr>
              <w:spacing w:before="40"/>
              <w:rPr>
                <w:szCs w:val="20"/>
              </w:rPr>
            </w:pPr>
            <w:r>
              <w:rPr>
                <w:szCs w:val="20"/>
              </w:rPr>
              <w:t xml:space="preserve">Signage is now standardised across the college and much clearer than previously.  </w:t>
            </w:r>
          </w:p>
        </w:tc>
        <w:tc>
          <w:tcPr>
            <w:tcW w:w="1220" w:type="dxa"/>
            <w:shd w:val="clear" w:color="auto" w:fill="FFFFFF" w:themeFill="background1"/>
          </w:tcPr>
          <w:p w:rsidR="00E9760D" w:rsidRPr="00B62096" w:rsidRDefault="00E33229" w:rsidP="00EC4E61">
            <w:pPr>
              <w:spacing w:before="40"/>
              <w:jc w:val="center"/>
              <w:rPr>
                <w:b/>
                <w:szCs w:val="20"/>
              </w:rPr>
            </w:pPr>
            <w:r>
              <w:rPr>
                <w:b/>
                <w:szCs w:val="20"/>
              </w:rPr>
              <w:t>Y</w:t>
            </w:r>
          </w:p>
        </w:tc>
        <w:tc>
          <w:tcPr>
            <w:tcW w:w="5265" w:type="dxa"/>
            <w:shd w:val="clear" w:color="auto" w:fill="FFFFFF" w:themeFill="background1"/>
          </w:tcPr>
          <w:p w:rsidR="00817411" w:rsidRDefault="00817411" w:rsidP="00817411">
            <w:pPr>
              <w:spacing w:before="40"/>
              <w:rPr>
                <w:szCs w:val="20"/>
              </w:rPr>
            </w:pPr>
            <w:r>
              <w:rPr>
                <w:szCs w:val="20"/>
              </w:rPr>
              <w:t xml:space="preserve">Removal of bins from classrooms could make distance to bin further.  But communal facilities are located throughout the college and in many cases there will be no change. </w:t>
            </w:r>
          </w:p>
          <w:p w:rsidR="00817411" w:rsidRDefault="00817411" w:rsidP="00817411">
            <w:pPr>
              <w:spacing w:before="40"/>
              <w:rPr>
                <w:szCs w:val="20"/>
              </w:rPr>
            </w:pPr>
          </w:p>
          <w:p w:rsidR="00E9760D" w:rsidRPr="00B62096" w:rsidRDefault="00817411" w:rsidP="00817411">
            <w:pPr>
              <w:spacing w:before="40"/>
              <w:rPr>
                <w:szCs w:val="20"/>
              </w:rPr>
            </w:pPr>
            <w:r>
              <w:rPr>
                <w:szCs w:val="20"/>
              </w:rPr>
              <w:t>Eating not allowed in classrooms as generates waste.  Policy has an exemption for those that might need to eat for medical or other reasons</w:t>
            </w:r>
            <w:proofErr w:type="gramStart"/>
            <w:r>
              <w:rPr>
                <w:szCs w:val="20"/>
              </w:rPr>
              <w:t>.</w:t>
            </w:r>
            <w:r w:rsidR="00E33229">
              <w:rPr>
                <w:szCs w:val="20"/>
              </w:rPr>
              <w:t>.</w:t>
            </w:r>
            <w:proofErr w:type="gramEnd"/>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lastRenderedPageBreak/>
              <w:t>Race</w:t>
            </w:r>
          </w:p>
        </w:tc>
        <w:tc>
          <w:tcPr>
            <w:tcW w:w="1399" w:type="dxa"/>
            <w:tcBorders>
              <w:top w:val="single" w:sz="4" w:space="0" w:color="auto"/>
            </w:tcBorders>
            <w:shd w:val="clear" w:color="auto" w:fill="FFFFFF" w:themeFill="background1"/>
          </w:tcPr>
          <w:p w:rsidR="00E9760D" w:rsidRPr="00AC06CE" w:rsidRDefault="00CF6AC5"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AD2C77" w:rsidP="00AC06CE">
            <w:pPr>
              <w:pStyle w:val="NoSpacing"/>
            </w:pPr>
            <w:r>
              <w:t>Y</w:t>
            </w:r>
          </w:p>
        </w:tc>
        <w:tc>
          <w:tcPr>
            <w:tcW w:w="4166" w:type="dxa"/>
            <w:shd w:val="clear" w:color="auto" w:fill="FFFFFF" w:themeFill="background1"/>
          </w:tcPr>
          <w:p w:rsidR="00E9760D" w:rsidRPr="00B62096" w:rsidRDefault="00AD2C77" w:rsidP="006F48B0">
            <w:pPr>
              <w:spacing w:before="40"/>
              <w:rPr>
                <w:szCs w:val="20"/>
              </w:rPr>
            </w:pPr>
            <w:r>
              <w:rPr>
                <w:szCs w:val="20"/>
              </w:rPr>
              <w:t>Good Environmental stewardship is a strong belief by many</w:t>
            </w:r>
            <w:r w:rsidR="00817411">
              <w:rPr>
                <w:szCs w:val="20"/>
              </w:rPr>
              <w:t xml:space="preserve"> (environmentalism, and within other religions)</w:t>
            </w:r>
            <w:r>
              <w:rPr>
                <w:szCs w:val="20"/>
              </w:rPr>
              <w:t xml:space="preserve"> and sends out positive messages about the </w:t>
            </w:r>
            <w:r w:rsidR="00817411">
              <w:rPr>
                <w:szCs w:val="20"/>
              </w:rPr>
              <w:t>college’s</w:t>
            </w:r>
            <w:r>
              <w:rPr>
                <w:szCs w:val="20"/>
              </w:rPr>
              <w:t xml:space="preserve"> responsibility.  </w:t>
            </w: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AC06CE" w:rsidRDefault="00CF6AC5"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AC06CE" w:rsidRDefault="00CF6AC5"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CF6AC5"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Care leavers/looked after young </w:t>
            </w:r>
            <w:r w:rsidR="00410ECC">
              <w:t>people</w:t>
            </w:r>
            <w:r w:rsidR="00F7144E">
              <w:t>*</w:t>
            </w:r>
          </w:p>
        </w:tc>
        <w:tc>
          <w:tcPr>
            <w:tcW w:w="1399" w:type="dxa"/>
            <w:tcBorders>
              <w:top w:val="single" w:sz="4" w:space="0" w:color="auto"/>
            </w:tcBorders>
            <w:shd w:val="clear" w:color="auto" w:fill="FFFFFF" w:themeFill="background1"/>
          </w:tcPr>
          <w:p w:rsidR="00E9760D" w:rsidRPr="00AC06CE" w:rsidRDefault="00CF6AC5"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CF6AC5"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CF6AC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Pr="000A2B52" w:rsidRDefault="00CF6AC5" w:rsidP="0066252E">
            <w:pPr>
              <w:spacing w:before="40"/>
              <w:rPr>
                <w:szCs w:val="16"/>
              </w:rPr>
            </w:pPr>
            <w:r>
              <w:rPr>
                <w:szCs w:val="16"/>
              </w:rPr>
              <w:t>Policy has qualification allowing flexibility where and individuals or group circumstances can be taken into account.</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CF6AC5" w:rsidP="0066252E">
            <w:pPr>
              <w:spacing w:before="40"/>
              <w:rPr>
                <w:szCs w:val="16"/>
              </w:rPr>
            </w:pPr>
            <w:r>
              <w:rPr>
                <w:szCs w:val="16"/>
              </w:rPr>
              <w:t>No</w:t>
            </w: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0A2B52" w:rsidRDefault="00CF6AC5" w:rsidP="004A08E7">
            <w:pPr>
              <w:rPr>
                <w:szCs w:val="16"/>
              </w:rPr>
            </w:pPr>
            <w:r>
              <w:rPr>
                <w:szCs w:val="16"/>
              </w:rPr>
              <w:t>Policy is broadly neutral</w:t>
            </w:r>
            <w:r w:rsidR="00817411">
              <w:rPr>
                <w:szCs w:val="16"/>
              </w:rPr>
              <w:t xml:space="preserve"> and in some areas will not result in a change.  Awareness raising will be undertaken to facilitate implementation of the policy, though it will not focus on any specific element of equality.   </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Pr="000A2B52" w:rsidRDefault="00CF6AC5" w:rsidP="004A08E7">
            <w:pPr>
              <w:rPr>
                <w:szCs w:val="16"/>
              </w:rPr>
            </w:pPr>
            <w:r>
              <w:rPr>
                <w:szCs w:val="16"/>
              </w:rPr>
              <w:t>Sustainability Officer, Equalities Officer</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CF6AC5" w:rsidP="009D7A8C">
            <w:pPr>
              <w:rPr>
                <w:szCs w:val="16"/>
              </w:rPr>
            </w:pPr>
            <w:r>
              <w:rPr>
                <w:szCs w:val="16"/>
              </w:rPr>
              <w:t>NA</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CF6AC5"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Default="00CF6AC5" w:rsidP="00DD267E">
            <w:pPr>
              <w:spacing w:before="240"/>
            </w:pPr>
            <w:r>
              <w:t>Monitor feedback on waste and recycling</w:t>
            </w:r>
          </w:p>
          <w:p w:rsidR="00CF6AC5" w:rsidRDefault="00CF6AC5" w:rsidP="00DD267E">
            <w:pPr>
              <w:spacing w:before="240"/>
            </w:pPr>
            <w:r>
              <w:t>-students</w:t>
            </w:r>
          </w:p>
          <w:p w:rsidR="00CF6AC5" w:rsidRDefault="00CF6AC5" w:rsidP="00DD267E">
            <w:pPr>
              <w:spacing w:before="240"/>
            </w:pPr>
            <w:r>
              <w:t>-Staff</w:t>
            </w:r>
          </w:p>
          <w:p w:rsidR="00CF6AC5" w:rsidRPr="000A2B52" w:rsidRDefault="00CF6AC5" w:rsidP="00DD267E">
            <w:pPr>
              <w:spacing w:before="240"/>
            </w:pPr>
            <w:r>
              <w:t>-cleaners</w:t>
            </w:r>
          </w:p>
        </w:tc>
        <w:tc>
          <w:tcPr>
            <w:tcW w:w="3545" w:type="dxa"/>
            <w:tcBorders>
              <w:left w:val="single" w:sz="4" w:space="0" w:color="auto"/>
              <w:right w:val="single" w:sz="4" w:space="0" w:color="auto"/>
            </w:tcBorders>
          </w:tcPr>
          <w:p w:rsidR="00C51C24" w:rsidRPr="000A2B52" w:rsidRDefault="00CF6AC5" w:rsidP="00DD267E">
            <w:pPr>
              <w:spacing w:before="240"/>
            </w:pPr>
            <w:r>
              <w:t>Sustainability Officer</w:t>
            </w:r>
          </w:p>
        </w:tc>
        <w:tc>
          <w:tcPr>
            <w:tcW w:w="3260" w:type="dxa"/>
            <w:tcBorders>
              <w:left w:val="single" w:sz="4" w:space="0" w:color="auto"/>
              <w:right w:val="single" w:sz="4" w:space="0" w:color="auto"/>
            </w:tcBorders>
          </w:tcPr>
          <w:p w:rsidR="00C51C24" w:rsidRPr="000A2B52" w:rsidRDefault="00CF6AC5" w:rsidP="00DD267E">
            <w:pPr>
              <w:spacing w:before="240"/>
            </w:pPr>
            <w:r>
              <w:t>December 2016</w:t>
            </w:r>
          </w:p>
        </w:tc>
      </w:tr>
      <w:tr w:rsidR="00836A55" w:rsidTr="007B4F24">
        <w:tc>
          <w:tcPr>
            <w:tcW w:w="8074" w:type="dxa"/>
            <w:tcBorders>
              <w:left w:val="single" w:sz="4" w:space="0" w:color="auto"/>
              <w:right w:val="single" w:sz="4" w:space="0" w:color="auto"/>
            </w:tcBorders>
          </w:tcPr>
          <w:p w:rsidR="00836A55" w:rsidRPr="000A2B52" w:rsidRDefault="00836A55" w:rsidP="00DD267E">
            <w:pPr>
              <w:spacing w:before="240"/>
            </w:pPr>
          </w:p>
        </w:tc>
        <w:tc>
          <w:tcPr>
            <w:tcW w:w="3545" w:type="dxa"/>
            <w:tcBorders>
              <w:left w:val="single" w:sz="4" w:space="0" w:color="auto"/>
              <w:right w:val="single" w:sz="4" w:space="0" w:color="auto"/>
            </w:tcBorders>
          </w:tcPr>
          <w:p w:rsidR="00836A55" w:rsidRPr="000A2B52" w:rsidRDefault="00836A55" w:rsidP="00DD267E">
            <w:pPr>
              <w:spacing w:before="240"/>
            </w:pPr>
          </w:p>
        </w:tc>
        <w:tc>
          <w:tcPr>
            <w:tcW w:w="3260" w:type="dxa"/>
            <w:tcBorders>
              <w:left w:val="single" w:sz="4" w:space="0" w:color="auto"/>
              <w:right w:val="single" w:sz="4" w:space="0" w:color="auto"/>
            </w:tcBorders>
          </w:tcPr>
          <w:p w:rsidR="00836A55" w:rsidRPr="000A2B52" w:rsidRDefault="00836A55"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F01FE0">
              <w:rPr>
                <w:sz w:val="20"/>
                <w:szCs w:val="20"/>
              </w:rPr>
              <w:tab/>
            </w:r>
            <w:r w:rsidR="004A7B9E" w:rsidRPr="0066419E">
              <w:rPr>
                <w:sz w:val="22"/>
                <w:szCs w:val="20"/>
              </w:rPr>
              <w:tab/>
            </w:r>
            <w:r>
              <w:rPr>
                <w:b/>
              </w:rPr>
              <w:t>Date:</w:t>
            </w:r>
            <w:r w:rsidR="00B55180">
              <w:rPr>
                <w:b/>
              </w:rPr>
              <w:t xml:space="preserve">  </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to Head of Quality and </w:t>
            </w:r>
            <w:r w:rsidR="009D55A4" w:rsidRPr="00943B03">
              <w:t>Equalities</w:t>
            </w:r>
            <w:bookmarkStart w:id="0" w:name="_GoBack"/>
            <w:bookmarkEnd w:id="0"/>
            <w:r w:rsidR="004175D0" w:rsidRPr="00943B03">
              <w:t xml:space="preserve"> 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proofErr w:type="gramStart"/>
            <w:r w:rsidRPr="00943B03">
              <w:t>publication</w:t>
            </w:r>
            <w:proofErr w:type="gramEnd"/>
            <w:r w:rsidRPr="00943B03">
              <w:t xml:space="preserve">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5E4269">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7</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7</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40BAC"/>
    <w:rsid w:val="00046FB6"/>
    <w:rsid w:val="00051B0F"/>
    <w:rsid w:val="0008211F"/>
    <w:rsid w:val="00090CE9"/>
    <w:rsid w:val="00092415"/>
    <w:rsid w:val="0009275B"/>
    <w:rsid w:val="000A181E"/>
    <w:rsid w:val="000A2B52"/>
    <w:rsid w:val="000B7095"/>
    <w:rsid w:val="000C7526"/>
    <w:rsid w:val="000D4A08"/>
    <w:rsid w:val="000D7B4B"/>
    <w:rsid w:val="000F3FA1"/>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202247"/>
    <w:rsid w:val="00211D20"/>
    <w:rsid w:val="0021774A"/>
    <w:rsid w:val="00236EF7"/>
    <w:rsid w:val="0026100E"/>
    <w:rsid w:val="00262B9B"/>
    <w:rsid w:val="00270BA8"/>
    <w:rsid w:val="0027399A"/>
    <w:rsid w:val="002A21A0"/>
    <w:rsid w:val="002A3745"/>
    <w:rsid w:val="002B33E5"/>
    <w:rsid w:val="002B3744"/>
    <w:rsid w:val="002D57F4"/>
    <w:rsid w:val="002F31D7"/>
    <w:rsid w:val="002F6BC8"/>
    <w:rsid w:val="003104F9"/>
    <w:rsid w:val="00323A6A"/>
    <w:rsid w:val="00325293"/>
    <w:rsid w:val="00331C19"/>
    <w:rsid w:val="00337760"/>
    <w:rsid w:val="00340898"/>
    <w:rsid w:val="00343996"/>
    <w:rsid w:val="00345E3E"/>
    <w:rsid w:val="00347AED"/>
    <w:rsid w:val="0035084D"/>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3183F"/>
    <w:rsid w:val="00446896"/>
    <w:rsid w:val="0044724F"/>
    <w:rsid w:val="00464553"/>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62A05"/>
    <w:rsid w:val="00566710"/>
    <w:rsid w:val="00587CA2"/>
    <w:rsid w:val="00590127"/>
    <w:rsid w:val="005950BA"/>
    <w:rsid w:val="005B2EA3"/>
    <w:rsid w:val="005B50FA"/>
    <w:rsid w:val="005B6804"/>
    <w:rsid w:val="005C1F2A"/>
    <w:rsid w:val="005C2CD1"/>
    <w:rsid w:val="005D405A"/>
    <w:rsid w:val="005E2E3B"/>
    <w:rsid w:val="005E4269"/>
    <w:rsid w:val="005E5272"/>
    <w:rsid w:val="005E715E"/>
    <w:rsid w:val="005F4827"/>
    <w:rsid w:val="00610DC7"/>
    <w:rsid w:val="0061726E"/>
    <w:rsid w:val="0062032F"/>
    <w:rsid w:val="00634366"/>
    <w:rsid w:val="00650DAA"/>
    <w:rsid w:val="00656F1C"/>
    <w:rsid w:val="0066419E"/>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50E0D"/>
    <w:rsid w:val="00774188"/>
    <w:rsid w:val="00777F52"/>
    <w:rsid w:val="00783596"/>
    <w:rsid w:val="00792882"/>
    <w:rsid w:val="0079621C"/>
    <w:rsid w:val="00797058"/>
    <w:rsid w:val="007A72E3"/>
    <w:rsid w:val="007B4F24"/>
    <w:rsid w:val="007C0549"/>
    <w:rsid w:val="007D5D9A"/>
    <w:rsid w:val="007F24AD"/>
    <w:rsid w:val="008048E9"/>
    <w:rsid w:val="00810BFD"/>
    <w:rsid w:val="00817411"/>
    <w:rsid w:val="00836A55"/>
    <w:rsid w:val="0084757F"/>
    <w:rsid w:val="00850631"/>
    <w:rsid w:val="00851AC2"/>
    <w:rsid w:val="0085243E"/>
    <w:rsid w:val="008A5BD0"/>
    <w:rsid w:val="008B469B"/>
    <w:rsid w:val="008C6AD7"/>
    <w:rsid w:val="008D5F9D"/>
    <w:rsid w:val="008E0C3F"/>
    <w:rsid w:val="008F0BB8"/>
    <w:rsid w:val="008F1444"/>
    <w:rsid w:val="0091247F"/>
    <w:rsid w:val="0091480F"/>
    <w:rsid w:val="009229D8"/>
    <w:rsid w:val="00935DF2"/>
    <w:rsid w:val="00936920"/>
    <w:rsid w:val="009434D9"/>
    <w:rsid w:val="00943B03"/>
    <w:rsid w:val="00957B71"/>
    <w:rsid w:val="009748F9"/>
    <w:rsid w:val="009770BB"/>
    <w:rsid w:val="00995163"/>
    <w:rsid w:val="009975A9"/>
    <w:rsid w:val="009A6C9A"/>
    <w:rsid w:val="009A7D81"/>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A7470"/>
    <w:rsid w:val="00AB0063"/>
    <w:rsid w:val="00AB08C1"/>
    <w:rsid w:val="00AB52AD"/>
    <w:rsid w:val="00AC06CE"/>
    <w:rsid w:val="00AC2C10"/>
    <w:rsid w:val="00AD035A"/>
    <w:rsid w:val="00AD2C77"/>
    <w:rsid w:val="00AD3F42"/>
    <w:rsid w:val="00AD7ED7"/>
    <w:rsid w:val="00AF4FFA"/>
    <w:rsid w:val="00B066DF"/>
    <w:rsid w:val="00B140A6"/>
    <w:rsid w:val="00B143E2"/>
    <w:rsid w:val="00B14D93"/>
    <w:rsid w:val="00B55180"/>
    <w:rsid w:val="00B57100"/>
    <w:rsid w:val="00B62096"/>
    <w:rsid w:val="00B661F5"/>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76212"/>
    <w:rsid w:val="00C8118C"/>
    <w:rsid w:val="00C81A1C"/>
    <w:rsid w:val="00C85426"/>
    <w:rsid w:val="00C91BE9"/>
    <w:rsid w:val="00C9206B"/>
    <w:rsid w:val="00C96FE3"/>
    <w:rsid w:val="00CA1013"/>
    <w:rsid w:val="00CC15A8"/>
    <w:rsid w:val="00CE01C1"/>
    <w:rsid w:val="00CF6AC5"/>
    <w:rsid w:val="00D234C4"/>
    <w:rsid w:val="00D534BE"/>
    <w:rsid w:val="00D5362F"/>
    <w:rsid w:val="00D56CEC"/>
    <w:rsid w:val="00D605DD"/>
    <w:rsid w:val="00D60C67"/>
    <w:rsid w:val="00D612B4"/>
    <w:rsid w:val="00D75C8B"/>
    <w:rsid w:val="00D77EBC"/>
    <w:rsid w:val="00DA6FC9"/>
    <w:rsid w:val="00DB3363"/>
    <w:rsid w:val="00DB3B32"/>
    <w:rsid w:val="00DB4EBC"/>
    <w:rsid w:val="00DD267E"/>
    <w:rsid w:val="00DD7B32"/>
    <w:rsid w:val="00DE6D25"/>
    <w:rsid w:val="00DF5C73"/>
    <w:rsid w:val="00E00BB0"/>
    <w:rsid w:val="00E16238"/>
    <w:rsid w:val="00E21817"/>
    <w:rsid w:val="00E33229"/>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F0CCC"/>
    <w:rsid w:val="00EF1AAD"/>
    <w:rsid w:val="00F01FE0"/>
    <w:rsid w:val="00F030DB"/>
    <w:rsid w:val="00F077DE"/>
    <w:rsid w:val="00F11918"/>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0D3B-7D7A-4445-9509-3A701D34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Sara Taylor</cp:lastModifiedBy>
  <cp:revision>3</cp:revision>
  <cp:lastPrinted>2017-04-26T09:40:00Z</cp:lastPrinted>
  <dcterms:created xsi:type="dcterms:W3CDTF">2017-04-26T09:39:00Z</dcterms:created>
  <dcterms:modified xsi:type="dcterms:W3CDTF">2017-04-26T09:40:00Z</dcterms:modified>
</cp:coreProperties>
</file>