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DB3363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2D57F4">
        <w:rPr>
          <w:b/>
          <w:sz w:val="36"/>
          <w:szCs w:val="36"/>
        </w:rPr>
        <w:t xml:space="preserve">Recording </w:t>
      </w:r>
      <w:r w:rsidR="0091247F" w:rsidRPr="0026100E">
        <w:rPr>
          <w:b/>
          <w:sz w:val="36"/>
          <w:szCs w:val="36"/>
        </w:rPr>
        <w:t>Form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61726E" w:rsidP="00DE6D25"/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61726E" w:rsidRPr="00656F1C" w:rsidRDefault="0061726E" w:rsidP="003E723B"/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Pr="0052493B" w:rsidRDefault="0027399A" w:rsidP="0027399A"/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61726E" w:rsidP="0061726E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A1C" w:rsidRPr="00B62096" w:rsidRDefault="00C81A1C" w:rsidP="003E723B">
            <w:pPr>
              <w:spacing w:before="40"/>
            </w:pPr>
          </w:p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Pr="00B62096" w:rsidRDefault="00C81A1C" w:rsidP="003E723B">
            <w:pPr>
              <w:spacing w:before="40"/>
            </w:pP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Default="009A7D81" w:rsidP="001C5461">
            <w:pPr>
              <w:spacing w:before="40"/>
            </w:pPr>
            <w:r>
              <w:t>Who will be consulted?</w:t>
            </w:r>
          </w:p>
          <w:p w:rsidR="00D60C67" w:rsidRPr="00851AC2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60C67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Pr="00B62096" w:rsidRDefault="00D56CEC" w:rsidP="00153782">
            <w:pPr>
              <w:spacing w:before="40"/>
              <w:rPr>
                <w:rFonts w:eastAsia="Times New Roman"/>
                <w:b/>
                <w:lang w:val="en" w:eastAsia="en-GB"/>
              </w:rPr>
            </w:pP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6" w:rsidRPr="00B62096" w:rsidRDefault="00B94D76" w:rsidP="0027399A">
            <w:pPr>
              <w:spacing w:before="40"/>
              <w:jc w:val="both"/>
            </w:pPr>
          </w:p>
        </w:tc>
      </w:tr>
    </w:tbl>
    <w:p w:rsidR="00A53233" w:rsidRDefault="00A53233"/>
    <w:p w:rsidR="00F077DE" w:rsidRDefault="00F077DE"/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150D2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150D2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166"/>
        <w:gridCol w:w="1220"/>
        <w:gridCol w:w="5265"/>
      </w:tblGrid>
      <w:tr w:rsidR="0070228B" w:rsidRPr="00AF4FFA" w:rsidTr="00175CB7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20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5265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Gender reassignment</w:t>
            </w:r>
          </w:p>
          <w:p w:rsidR="00E9760D" w:rsidRPr="00483B7F" w:rsidRDefault="00E9760D" w:rsidP="00EC4E61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B94D76" w:rsidRPr="00B62096" w:rsidRDefault="00B94D76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BC2C13" w:rsidP="00EC4E61">
            <w:r>
              <w:t>Pregnancy</w:t>
            </w:r>
            <w:r w:rsidR="00E9760D">
              <w:t xml:space="preserve">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bookmarkStart w:id="0" w:name="_GoBack"/>
            <w:r>
              <w:t>Social deprivation</w:t>
            </w:r>
            <w:r w:rsidR="00F7144E">
              <w:t>*</w:t>
            </w:r>
          </w:p>
          <w:p w:rsidR="00C76212" w:rsidRPr="00483B7F" w:rsidRDefault="00C76212" w:rsidP="00EC4E61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bookmarkEnd w:id="0"/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D8237D">
            <w:r>
              <w:t xml:space="preserve">Care </w:t>
            </w:r>
            <w:r w:rsidR="00D8237D">
              <w:t>Experienced people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People with caring </w:t>
            </w:r>
            <w:r w:rsidR="00410ECC">
              <w:t>responsibilities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footerReference w:type="default" r:id="rId9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66252E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66252E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6D3F43" w:rsidRPr="000A2B52" w:rsidRDefault="006D3F43" w:rsidP="0066252E">
            <w:pPr>
              <w:spacing w:before="40"/>
              <w:rPr>
                <w:szCs w:val="16"/>
              </w:rPr>
            </w:pPr>
          </w:p>
        </w:tc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66252E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F7144E" w:rsidP="0066252E">
            <w:pPr>
              <w:spacing w:before="40"/>
              <w:rPr>
                <w:szCs w:val="16"/>
              </w:rPr>
            </w:pP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Pr="000A2B52" w:rsidRDefault="00F300D7" w:rsidP="004A08E7">
            <w:pPr>
              <w:rPr>
                <w:szCs w:val="16"/>
              </w:rPr>
            </w:pP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4A08E7" w:rsidP="004A08E7">
            <w:pPr>
              <w:rPr>
                <w:szCs w:val="16"/>
              </w:rPr>
            </w:pP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4A08E7" w:rsidP="009D7A8C">
            <w:pPr>
              <w:rPr>
                <w:szCs w:val="16"/>
              </w:rPr>
            </w:pP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lastRenderedPageBreak/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8E0C3F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  </w:t>
            </w:r>
            <w:r w:rsidR="00F01FE0">
              <w:rPr>
                <w:sz w:val="20"/>
                <w:szCs w:val="20"/>
              </w:rPr>
              <w:tab/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EE037F">
              <w:t xml:space="preserve">Sara Taylor, </w:t>
            </w:r>
            <w:r w:rsidR="009D55A4" w:rsidRPr="00943B03">
              <w:t>Equalities</w:t>
            </w:r>
            <w:r w:rsidR="00EE037F">
              <w:t xml:space="preserve"> Officer</w:t>
            </w:r>
            <w:r w:rsidR="004175D0" w:rsidRPr="00943B03">
              <w:t xml:space="preserve">, </w:t>
            </w:r>
            <w:hyperlink r:id="rId10" w:history="1">
              <w:r w:rsidR="00EE037F" w:rsidRPr="00BF78EE">
                <w:rPr>
                  <w:rStyle w:val="Hyperlink"/>
                </w:rPr>
                <w:t>sara.taylor@edinburghcollege.ac.uk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proofErr w:type="gramStart"/>
            <w:r w:rsidRPr="00943B03">
              <w:t>publication</w:t>
            </w:r>
            <w:proofErr w:type="gramEnd"/>
            <w:r w:rsidRPr="00943B03">
              <w:t xml:space="preserve">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D8237D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40BAC"/>
    <w:rsid w:val="00046FB6"/>
    <w:rsid w:val="00051B0F"/>
    <w:rsid w:val="0008211F"/>
    <w:rsid w:val="00090CE9"/>
    <w:rsid w:val="00092415"/>
    <w:rsid w:val="0009275B"/>
    <w:rsid w:val="000A181E"/>
    <w:rsid w:val="000A2B52"/>
    <w:rsid w:val="000B7095"/>
    <w:rsid w:val="000C7526"/>
    <w:rsid w:val="000D7B4B"/>
    <w:rsid w:val="00106EAB"/>
    <w:rsid w:val="00112679"/>
    <w:rsid w:val="001133B2"/>
    <w:rsid w:val="00113E60"/>
    <w:rsid w:val="00132768"/>
    <w:rsid w:val="00153782"/>
    <w:rsid w:val="00166A92"/>
    <w:rsid w:val="00174EC8"/>
    <w:rsid w:val="00175CB7"/>
    <w:rsid w:val="001812C7"/>
    <w:rsid w:val="001832E8"/>
    <w:rsid w:val="001845F7"/>
    <w:rsid w:val="001B75BB"/>
    <w:rsid w:val="001C5461"/>
    <w:rsid w:val="001D31B4"/>
    <w:rsid w:val="001E121F"/>
    <w:rsid w:val="001E73F1"/>
    <w:rsid w:val="001E7F45"/>
    <w:rsid w:val="00202247"/>
    <w:rsid w:val="00211D20"/>
    <w:rsid w:val="0021774A"/>
    <w:rsid w:val="00236EF7"/>
    <w:rsid w:val="0026100E"/>
    <w:rsid w:val="00262B9B"/>
    <w:rsid w:val="0027399A"/>
    <w:rsid w:val="002A21A0"/>
    <w:rsid w:val="002A3745"/>
    <w:rsid w:val="002B33E5"/>
    <w:rsid w:val="002B3744"/>
    <w:rsid w:val="002D57F4"/>
    <w:rsid w:val="002F31D7"/>
    <w:rsid w:val="002F6BC8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71155"/>
    <w:rsid w:val="003714EC"/>
    <w:rsid w:val="003747D2"/>
    <w:rsid w:val="00383A03"/>
    <w:rsid w:val="003B3F27"/>
    <w:rsid w:val="003B4171"/>
    <w:rsid w:val="003B5621"/>
    <w:rsid w:val="003C2BC3"/>
    <w:rsid w:val="003E723B"/>
    <w:rsid w:val="003F16C5"/>
    <w:rsid w:val="003F702E"/>
    <w:rsid w:val="00404A4A"/>
    <w:rsid w:val="00410ECC"/>
    <w:rsid w:val="0041433B"/>
    <w:rsid w:val="004175D0"/>
    <w:rsid w:val="0043183F"/>
    <w:rsid w:val="00446896"/>
    <w:rsid w:val="0044724F"/>
    <w:rsid w:val="00473F86"/>
    <w:rsid w:val="00477857"/>
    <w:rsid w:val="00483B7F"/>
    <w:rsid w:val="004927CF"/>
    <w:rsid w:val="0049436B"/>
    <w:rsid w:val="004950A8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52493B"/>
    <w:rsid w:val="0053368B"/>
    <w:rsid w:val="00545FA5"/>
    <w:rsid w:val="00562A05"/>
    <w:rsid w:val="00566710"/>
    <w:rsid w:val="00587CA2"/>
    <w:rsid w:val="00590127"/>
    <w:rsid w:val="005950BA"/>
    <w:rsid w:val="005B2EA3"/>
    <w:rsid w:val="005B50FA"/>
    <w:rsid w:val="005B6804"/>
    <w:rsid w:val="005C1F2A"/>
    <w:rsid w:val="005C2CD1"/>
    <w:rsid w:val="005D405A"/>
    <w:rsid w:val="005E2E3B"/>
    <w:rsid w:val="005E5272"/>
    <w:rsid w:val="005E715E"/>
    <w:rsid w:val="005F4827"/>
    <w:rsid w:val="00610DC7"/>
    <w:rsid w:val="0061726E"/>
    <w:rsid w:val="0062032F"/>
    <w:rsid w:val="00634366"/>
    <w:rsid w:val="00650DAA"/>
    <w:rsid w:val="00656F1C"/>
    <w:rsid w:val="0066419E"/>
    <w:rsid w:val="006845D3"/>
    <w:rsid w:val="00692E21"/>
    <w:rsid w:val="00694650"/>
    <w:rsid w:val="006B7E5C"/>
    <w:rsid w:val="006D0B08"/>
    <w:rsid w:val="006D3F43"/>
    <w:rsid w:val="006F48B0"/>
    <w:rsid w:val="006F4FC8"/>
    <w:rsid w:val="0070228B"/>
    <w:rsid w:val="00706148"/>
    <w:rsid w:val="00706168"/>
    <w:rsid w:val="0070758D"/>
    <w:rsid w:val="0071002A"/>
    <w:rsid w:val="007246FF"/>
    <w:rsid w:val="00726620"/>
    <w:rsid w:val="00774188"/>
    <w:rsid w:val="00777F52"/>
    <w:rsid w:val="00783596"/>
    <w:rsid w:val="00792882"/>
    <w:rsid w:val="0079621C"/>
    <w:rsid w:val="00797058"/>
    <w:rsid w:val="007A72E3"/>
    <w:rsid w:val="007B4F24"/>
    <w:rsid w:val="007C0549"/>
    <w:rsid w:val="007F24AD"/>
    <w:rsid w:val="008048E9"/>
    <w:rsid w:val="00810BFD"/>
    <w:rsid w:val="00836A55"/>
    <w:rsid w:val="0084757F"/>
    <w:rsid w:val="00850631"/>
    <w:rsid w:val="00851AC2"/>
    <w:rsid w:val="0085243E"/>
    <w:rsid w:val="008A5BD0"/>
    <w:rsid w:val="008B469B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34D9"/>
    <w:rsid w:val="00943B03"/>
    <w:rsid w:val="00957B71"/>
    <w:rsid w:val="009748F9"/>
    <w:rsid w:val="009770BB"/>
    <w:rsid w:val="00995163"/>
    <w:rsid w:val="009975A9"/>
    <w:rsid w:val="009A6C9A"/>
    <w:rsid w:val="009A7D81"/>
    <w:rsid w:val="009C7F64"/>
    <w:rsid w:val="009D46E0"/>
    <w:rsid w:val="009D49E6"/>
    <w:rsid w:val="009D55A4"/>
    <w:rsid w:val="009D7A0F"/>
    <w:rsid w:val="009D7A8C"/>
    <w:rsid w:val="009D7F1F"/>
    <w:rsid w:val="00A072C3"/>
    <w:rsid w:val="00A22B97"/>
    <w:rsid w:val="00A35ECD"/>
    <w:rsid w:val="00A42814"/>
    <w:rsid w:val="00A44C87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3F42"/>
    <w:rsid w:val="00AD7ED7"/>
    <w:rsid w:val="00AF4FFA"/>
    <w:rsid w:val="00B066DF"/>
    <w:rsid w:val="00B140A6"/>
    <w:rsid w:val="00B143E2"/>
    <w:rsid w:val="00B14D93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6FE3"/>
    <w:rsid w:val="00CA1013"/>
    <w:rsid w:val="00CC15A8"/>
    <w:rsid w:val="00CE01C1"/>
    <w:rsid w:val="00D234C4"/>
    <w:rsid w:val="00D534BE"/>
    <w:rsid w:val="00D56CEC"/>
    <w:rsid w:val="00D605DD"/>
    <w:rsid w:val="00D60C67"/>
    <w:rsid w:val="00D612B4"/>
    <w:rsid w:val="00D75C8B"/>
    <w:rsid w:val="00D77EBC"/>
    <w:rsid w:val="00D8237D"/>
    <w:rsid w:val="00DA6FC9"/>
    <w:rsid w:val="00DB3363"/>
    <w:rsid w:val="00DB3B32"/>
    <w:rsid w:val="00DB4EBC"/>
    <w:rsid w:val="00DD267E"/>
    <w:rsid w:val="00DD7B32"/>
    <w:rsid w:val="00DE6D25"/>
    <w:rsid w:val="00DF5C73"/>
    <w:rsid w:val="00E00BB0"/>
    <w:rsid w:val="00E16238"/>
    <w:rsid w:val="00E21817"/>
    <w:rsid w:val="00E54410"/>
    <w:rsid w:val="00E60538"/>
    <w:rsid w:val="00E61161"/>
    <w:rsid w:val="00E818AB"/>
    <w:rsid w:val="00E900AA"/>
    <w:rsid w:val="00E9760D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63316"/>
    <w:rsid w:val="00F70D37"/>
    <w:rsid w:val="00F7144E"/>
    <w:rsid w:val="00F853FE"/>
    <w:rsid w:val="00FB5799"/>
    <w:rsid w:val="00FC50F2"/>
    <w:rsid w:val="00FC6575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.taylor@edinburghcollege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2D0D-BD41-4198-B2BC-BA68C1D1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Susan Inglis</dc:creator>
  <cp:lastModifiedBy>Sara Taylor</cp:lastModifiedBy>
  <cp:revision>3</cp:revision>
  <cp:lastPrinted>2015-09-28T10:56:00Z</cp:lastPrinted>
  <dcterms:created xsi:type="dcterms:W3CDTF">2017-04-05T08:24:00Z</dcterms:created>
  <dcterms:modified xsi:type="dcterms:W3CDTF">2017-08-14T13:28:00Z</dcterms:modified>
</cp:coreProperties>
</file>