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4CD18" w14:textId="77777777" w:rsidR="002B151F" w:rsidRPr="00D644A5" w:rsidRDefault="002B151F" w:rsidP="002B151F">
      <w:pPr>
        <w:rPr>
          <w:rFonts w:asciiTheme="minorHAnsi" w:hAnsiTheme="minorHAnsi" w:cstheme="minorHAnsi"/>
          <w:b/>
          <w:bCs/>
          <w14:ligatures w14:val="standardContextual"/>
        </w:rPr>
      </w:pPr>
      <w:r w:rsidRPr="00D644A5">
        <w:rPr>
          <w:rFonts w:asciiTheme="minorHAnsi" w:hAnsiTheme="minorHAnsi" w:cstheme="minorHAnsi"/>
          <w:b/>
          <w:bCs/>
          <w14:ligatures w14:val="standardContextual"/>
        </w:rPr>
        <w:t>Our Ref: 002/25</w:t>
      </w:r>
    </w:p>
    <w:p w14:paraId="192CD71B" w14:textId="77777777" w:rsidR="002B151F" w:rsidRPr="00D644A5" w:rsidRDefault="002B151F" w:rsidP="002B151F">
      <w:pPr>
        <w:rPr>
          <w:rFonts w:asciiTheme="minorHAnsi" w:hAnsiTheme="minorHAnsi" w:cstheme="minorHAnsi"/>
          <w:color w:val="FF0000"/>
          <w14:ligatures w14:val="standardContextual"/>
        </w:rPr>
      </w:pPr>
    </w:p>
    <w:p w14:paraId="6844E1ED"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xml:space="preserve">As of 1 October 2012, Edinburgh’s Telford College, Jewel &amp; </w:t>
      </w:r>
      <w:proofErr w:type="spellStart"/>
      <w:r w:rsidRPr="00D644A5">
        <w:rPr>
          <w:rFonts w:asciiTheme="minorHAnsi" w:hAnsiTheme="minorHAnsi" w:cstheme="minorHAnsi"/>
          <w14:ligatures w14:val="standardContextual"/>
        </w:rPr>
        <w:t>Esk</w:t>
      </w:r>
      <w:proofErr w:type="spellEnd"/>
      <w:r w:rsidRPr="00D644A5">
        <w:rPr>
          <w:rFonts w:asciiTheme="minorHAnsi" w:hAnsiTheme="minorHAnsi" w:cstheme="minorHAnsi"/>
          <w14:ligatures w14:val="standardContextual"/>
        </w:rPr>
        <w:t xml:space="preserve"> College and Stevenson College merged to create a single college called Edinburgh College. </w:t>
      </w:r>
    </w:p>
    <w:p w14:paraId="359C2700"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4291060A"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xml:space="preserve">We refer to your request for information dated 20 January 2025. The College has considered your request as a request for information under section 1 of the Freedom of Information (Scotland) Act 2002 (“FOISA”). </w:t>
      </w:r>
    </w:p>
    <w:p w14:paraId="50A17BB5"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b/>
          <w:bCs/>
          <w14:ligatures w14:val="standardContextual"/>
        </w:rPr>
        <w:t> </w:t>
      </w:r>
    </w:p>
    <w:p w14:paraId="5E13B2EE"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b/>
          <w:bCs/>
          <w14:ligatures w14:val="standardContextual"/>
        </w:rPr>
        <w:t>002/25:</w:t>
      </w:r>
      <w:r w:rsidRPr="00D644A5">
        <w:rPr>
          <w:rFonts w:asciiTheme="minorHAnsi" w:hAnsiTheme="minorHAnsi" w:cstheme="minorHAnsi"/>
          <w14:ligatures w14:val="standardContextual"/>
        </w:rPr>
        <w:t xml:space="preserve"> Details of the number of </w:t>
      </w:r>
      <w:proofErr w:type="gramStart"/>
      <w:r w:rsidRPr="00D644A5">
        <w:rPr>
          <w:rFonts w:asciiTheme="minorHAnsi" w:hAnsiTheme="minorHAnsi" w:cstheme="minorHAnsi"/>
          <w14:ligatures w14:val="standardContextual"/>
        </w:rPr>
        <w:t>staff</w:t>
      </w:r>
      <w:proofErr w:type="gramEnd"/>
      <w:r w:rsidRPr="00D644A5">
        <w:rPr>
          <w:rFonts w:asciiTheme="minorHAnsi" w:hAnsiTheme="minorHAnsi" w:cstheme="minorHAnsi"/>
          <w14:ligatures w14:val="standardContextual"/>
        </w:rPr>
        <w:t xml:space="preserve"> paying UNISON subscriptions through DOCAS broken down into separate monthly tranches for the periods October 2024, November 2024 and December 2024.</w:t>
      </w:r>
    </w:p>
    <w:p w14:paraId="34C44F0B" w14:textId="77777777" w:rsidR="002B151F" w:rsidRPr="00D644A5" w:rsidRDefault="002B151F" w:rsidP="002B151F">
      <w:pPr>
        <w:rPr>
          <w:rFonts w:asciiTheme="minorHAnsi" w:hAnsiTheme="minorHAnsi" w:cstheme="minorHAnsi"/>
          <w14:ligatures w14:val="standardContextual"/>
        </w:rPr>
      </w:pPr>
    </w:p>
    <w:p w14:paraId="6A193920"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Subscriptions are as follows;</w:t>
      </w:r>
    </w:p>
    <w:p w14:paraId="64B1828C" w14:textId="77777777" w:rsidR="002B151F" w:rsidRPr="00D644A5" w:rsidRDefault="002B151F" w:rsidP="002B151F">
      <w:pPr>
        <w:rPr>
          <w:rFonts w:asciiTheme="minorHAnsi" w:hAnsiTheme="minorHAnsi" w:cstheme="minorHAnsi"/>
          <w14:ligatures w14:val="standardContextual"/>
        </w:rPr>
      </w:pPr>
    </w:p>
    <w:tbl>
      <w:tblPr>
        <w:tblW w:w="0" w:type="auto"/>
        <w:tblCellMar>
          <w:left w:w="0" w:type="dxa"/>
          <w:right w:w="0" w:type="dxa"/>
        </w:tblCellMar>
        <w:tblLook w:val="04A0" w:firstRow="1" w:lastRow="0" w:firstColumn="1" w:lastColumn="0" w:noHBand="0" w:noVBand="1"/>
      </w:tblPr>
      <w:tblGrid>
        <w:gridCol w:w="1835"/>
        <w:gridCol w:w="1559"/>
      </w:tblGrid>
      <w:tr w:rsidR="002B151F" w:rsidRPr="00D644A5" w14:paraId="64E19467" w14:textId="77777777" w:rsidTr="002B151F">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EA33B7"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Month / Year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EBAD1"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Total Number of Staff</w:t>
            </w:r>
          </w:p>
        </w:tc>
      </w:tr>
      <w:tr w:rsidR="002B151F" w:rsidRPr="00D644A5" w14:paraId="26D62081" w14:textId="77777777" w:rsidTr="002B151F">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72143"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October 2024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593EC1E"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67</w:t>
            </w:r>
          </w:p>
        </w:tc>
      </w:tr>
      <w:tr w:rsidR="002B151F" w:rsidRPr="00D644A5" w14:paraId="52237B46" w14:textId="77777777" w:rsidTr="002B151F">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9B406"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November 2024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C6C4F1B"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66</w:t>
            </w:r>
          </w:p>
        </w:tc>
      </w:tr>
      <w:tr w:rsidR="002B151F" w:rsidRPr="00D644A5" w14:paraId="4C18175C" w14:textId="77777777" w:rsidTr="002B151F">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D1CAC"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December 2024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181D011" w14:textId="77777777" w:rsidR="002B151F" w:rsidRPr="00D644A5" w:rsidRDefault="002B151F">
            <w:pPr>
              <w:rPr>
                <w:rFonts w:asciiTheme="minorHAnsi" w:hAnsiTheme="minorHAnsi" w:cstheme="minorHAnsi"/>
                <w14:ligatures w14:val="standardContextual"/>
              </w:rPr>
            </w:pPr>
            <w:r w:rsidRPr="00D644A5">
              <w:rPr>
                <w:rFonts w:asciiTheme="minorHAnsi" w:hAnsiTheme="minorHAnsi" w:cstheme="minorHAnsi"/>
                <w14:ligatures w14:val="standardContextual"/>
              </w:rPr>
              <w:t>66</w:t>
            </w:r>
          </w:p>
        </w:tc>
      </w:tr>
    </w:tbl>
    <w:p w14:paraId="5344EF93" w14:textId="77777777" w:rsidR="002B151F" w:rsidRPr="00D644A5" w:rsidRDefault="002B151F" w:rsidP="002B151F">
      <w:pPr>
        <w:rPr>
          <w:rFonts w:asciiTheme="minorHAnsi" w:hAnsiTheme="minorHAnsi" w:cstheme="minorHAnsi"/>
          <w14:ligatures w14:val="standardContextual"/>
        </w:rPr>
      </w:pPr>
    </w:p>
    <w:p w14:paraId="16A7BB5D"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xml:space="preserve">Edinburgh College is subject to the provisions of the Freedom of Information (Scotland) Act (FOISA) 2002. If you are dissatisfied with this response, you may ask the college to review this decision. To do this, please contact the Vice Principal, Corporate Development at the postal address below or e-mail the Vice Principal, Corporate Development at </w:t>
      </w:r>
      <w:hyperlink r:id="rId7" w:history="1">
        <w:r w:rsidRPr="00D644A5">
          <w:rPr>
            <w:rStyle w:val="Hyperlink"/>
            <w:rFonts w:asciiTheme="minorHAnsi" w:hAnsiTheme="minorHAnsi" w:cstheme="minorHAnsi"/>
            <w:color w:val="467886"/>
            <w14:ligatures w14:val="standardContextual"/>
          </w:rPr>
          <w:t>governance@edinburghcollege.ac.uk</w:t>
        </w:r>
      </w:hyperlink>
      <w:r w:rsidRPr="00D644A5">
        <w:rPr>
          <w:rFonts w:asciiTheme="minorHAnsi" w:hAnsiTheme="minorHAnsi" w:cstheme="minorHAnsi"/>
          <w14:ligatures w14:val="standardContextual"/>
        </w:rPr>
        <w:t> describing your original request and explaining your grounds for dissatisfaction. (Please include in your review request, your name and address (email or postal) for correspondence).</w:t>
      </w:r>
    </w:p>
    <w:p w14:paraId="3BCB93E9"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0BF6232C"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You have 40 working days from receipt of this letter to submit a review request to:</w:t>
      </w:r>
    </w:p>
    <w:p w14:paraId="7CAFF412"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05335360"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Vice Principal, Corporate Development</w:t>
      </w:r>
    </w:p>
    <w:p w14:paraId="1D122EAB"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4th Floor</w:t>
      </w:r>
    </w:p>
    <w:p w14:paraId="5D9510B7"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Edinburgh College (Milton Road Campus)</w:t>
      </w:r>
    </w:p>
    <w:p w14:paraId="3AAF17F8"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24 Milton Road East</w:t>
      </w:r>
    </w:p>
    <w:p w14:paraId="6A37569D"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Edinburgh</w:t>
      </w:r>
    </w:p>
    <w:p w14:paraId="6802B6D9"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EH15 2PP</w:t>
      </w:r>
    </w:p>
    <w:p w14:paraId="4B2D9FAA"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305307C3"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When the review process has been completed and if you are still dissatisfied, you may ask the Scottish Information Commissioner to intervene.</w:t>
      </w:r>
    </w:p>
    <w:p w14:paraId="7C5D96DB"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2D7159A7"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You can make an appeal to the Commissioner by email or post.</w:t>
      </w:r>
    </w:p>
    <w:p w14:paraId="70892C83"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597D9D6B"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xml:space="preserve">To appeal by email, send your application form or email to mail to: </w:t>
      </w:r>
      <w:hyperlink r:id="rId8" w:history="1">
        <w:r w:rsidRPr="00D644A5">
          <w:rPr>
            <w:rStyle w:val="Hyperlink"/>
            <w:rFonts w:asciiTheme="minorHAnsi" w:hAnsiTheme="minorHAnsi" w:cstheme="minorHAnsi"/>
            <w:b/>
            <w:bCs/>
            <w:color w:val="467886"/>
            <w14:ligatures w14:val="standardContextual"/>
          </w:rPr>
          <w:t>enquiries@foi.scot</w:t>
        </w:r>
      </w:hyperlink>
    </w:p>
    <w:p w14:paraId="430CE737"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610EFE8C"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To appeal by post, send your application form or letter to:</w:t>
      </w:r>
    </w:p>
    <w:p w14:paraId="17482B56"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Scottish Information Commissioner</w:t>
      </w:r>
    </w:p>
    <w:p w14:paraId="46B339FD" w14:textId="77777777" w:rsidR="002B151F" w:rsidRPr="00D644A5" w:rsidRDefault="002B151F" w:rsidP="002B151F">
      <w:pPr>
        <w:rPr>
          <w:rFonts w:asciiTheme="minorHAnsi" w:hAnsiTheme="minorHAnsi" w:cstheme="minorHAnsi"/>
          <w14:ligatures w14:val="standardContextual"/>
        </w:rPr>
      </w:pPr>
      <w:proofErr w:type="spellStart"/>
      <w:r w:rsidRPr="00D644A5">
        <w:rPr>
          <w:rFonts w:asciiTheme="minorHAnsi" w:hAnsiTheme="minorHAnsi" w:cstheme="minorHAnsi"/>
          <w14:ligatures w14:val="standardContextual"/>
        </w:rPr>
        <w:t>Kinburn</w:t>
      </w:r>
      <w:proofErr w:type="spellEnd"/>
      <w:r w:rsidRPr="00D644A5">
        <w:rPr>
          <w:rFonts w:asciiTheme="minorHAnsi" w:hAnsiTheme="minorHAnsi" w:cstheme="minorHAnsi"/>
          <w14:ligatures w14:val="standardContextual"/>
        </w:rPr>
        <w:t xml:space="preserve"> Castle</w:t>
      </w:r>
    </w:p>
    <w:p w14:paraId="64C47E24" w14:textId="77777777" w:rsidR="002B151F" w:rsidRPr="00D644A5" w:rsidRDefault="002B151F" w:rsidP="002B151F">
      <w:pPr>
        <w:rPr>
          <w:rFonts w:asciiTheme="minorHAnsi" w:hAnsiTheme="minorHAnsi" w:cstheme="minorHAnsi"/>
          <w14:ligatures w14:val="standardContextual"/>
        </w:rPr>
      </w:pPr>
      <w:proofErr w:type="spellStart"/>
      <w:r w:rsidRPr="00D644A5">
        <w:rPr>
          <w:rFonts w:asciiTheme="minorHAnsi" w:hAnsiTheme="minorHAnsi" w:cstheme="minorHAnsi"/>
          <w14:ligatures w14:val="standardContextual"/>
        </w:rPr>
        <w:t>Doubledykes</w:t>
      </w:r>
      <w:proofErr w:type="spellEnd"/>
      <w:r w:rsidRPr="00D644A5">
        <w:rPr>
          <w:rFonts w:asciiTheme="minorHAnsi" w:hAnsiTheme="minorHAnsi" w:cstheme="minorHAnsi"/>
          <w14:ligatures w14:val="standardContextual"/>
        </w:rPr>
        <w:t xml:space="preserve"> Road</w:t>
      </w:r>
    </w:p>
    <w:p w14:paraId="6128261C"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St Andrews</w:t>
      </w:r>
    </w:p>
    <w:p w14:paraId="5C4AE3C0"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KY16 9DS</w:t>
      </w:r>
    </w:p>
    <w:p w14:paraId="401025F3"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468CB604"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lastRenderedPageBreak/>
        <w:t xml:space="preserve">Full details on how to make an appeal to the Commissioner are available from their website: </w:t>
      </w:r>
      <w:hyperlink r:id="rId9" w:history="1">
        <w:r w:rsidRPr="00D644A5">
          <w:rPr>
            <w:rStyle w:val="Hyperlink"/>
            <w:rFonts w:asciiTheme="minorHAnsi" w:hAnsiTheme="minorHAnsi" w:cstheme="minorHAnsi"/>
            <w:color w:val="467886"/>
            <w14:ligatures w14:val="standardContextual"/>
          </w:rPr>
          <w:t>Appeal to the Commissioner | Scottish Information Commissioner (</w:t>
        </w:r>
        <w:proofErr w:type="spellStart"/>
        <w:proofErr w:type="gramStart"/>
        <w:r w:rsidRPr="00D644A5">
          <w:rPr>
            <w:rStyle w:val="Hyperlink"/>
            <w:rFonts w:asciiTheme="minorHAnsi" w:hAnsiTheme="minorHAnsi" w:cstheme="minorHAnsi"/>
            <w:color w:val="467886"/>
            <w14:ligatures w14:val="standardContextual"/>
          </w:rPr>
          <w:t>foi.scot</w:t>
        </w:r>
        <w:proofErr w:type="spellEnd"/>
        <w:proofErr w:type="gramEnd"/>
        <w:r w:rsidRPr="00D644A5">
          <w:rPr>
            <w:rStyle w:val="Hyperlink"/>
            <w:rFonts w:asciiTheme="minorHAnsi" w:hAnsiTheme="minorHAnsi" w:cstheme="minorHAnsi"/>
            <w:color w:val="467886"/>
            <w14:ligatures w14:val="standardContextual"/>
          </w:rPr>
          <w:t>)</w:t>
        </w:r>
      </w:hyperlink>
    </w:p>
    <w:p w14:paraId="1F2F9005"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7EB4DE1D"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You must appeal to the Commissioner within six months of receiving the review decision.</w:t>
      </w:r>
    </w:p>
    <w:p w14:paraId="7BB9F79E"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285D569F"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You also have the right to appeal to the Court of Session on a point of law following a decision of the Commissioner.</w:t>
      </w:r>
    </w:p>
    <w:p w14:paraId="1FD0CCBC"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 </w:t>
      </w:r>
    </w:p>
    <w:p w14:paraId="284AF9E7"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Kind regards</w:t>
      </w:r>
    </w:p>
    <w:p w14:paraId="5F61CFD5" w14:textId="77777777" w:rsidR="002B151F" w:rsidRPr="00D644A5" w:rsidRDefault="002B151F" w:rsidP="002B151F">
      <w:pPr>
        <w:rPr>
          <w:rFonts w:asciiTheme="minorHAnsi" w:hAnsiTheme="minorHAnsi" w:cstheme="minorHAnsi"/>
          <w14:ligatures w14:val="standardContextual"/>
        </w:rPr>
      </w:pPr>
      <w:r w:rsidRPr="00D644A5">
        <w:rPr>
          <w:rFonts w:asciiTheme="minorHAnsi" w:hAnsiTheme="minorHAnsi" w:cstheme="minorHAnsi"/>
          <w14:ligatures w14:val="standardContextual"/>
        </w:rPr>
        <w:t>FOI Team</w:t>
      </w:r>
    </w:p>
    <w:p w14:paraId="466F1211" w14:textId="77777777" w:rsidR="00F156E1" w:rsidRPr="00D644A5" w:rsidRDefault="00F156E1">
      <w:pPr>
        <w:rPr>
          <w:rFonts w:asciiTheme="minorHAnsi" w:hAnsiTheme="minorHAnsi" w:cstheme="minorHAnsi"/>
        </w:rPr>
      </w:pPr>
      <w:bookmarkStart w:id="0" w:name="_GoBack"/>
      <w:bookmarkEnd w:id="0"/>
    </w:p>
    <w:sectPr w:rsidR="00F156E1" w:rsidRPr="00D64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F"/>
    <w:rsid w:val="002B151F"/>
    <w:rsid w:val="00D644A5"/>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A75A"/>
  <w15:chartTrackingRefBased/>
  <w15:docId w15:val="{50BFDEC4-4476-46DF-A46A-F5B20AC2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5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5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oi.scot"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oi.scot/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8" ma:contentTypeDescription="Create a new document." ma:contentTypeScope="" ma:versionID="6025c8f57e0a885518ea3576b2664fa0">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e334b8230d2e10193d5c6b547a00f21e"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09F77-E491-4550-B5B4-BA0A11872D2D}">
  <ds:schemaRefs>
    <ds:schemaRef ds:uri="http://purl.org/dc/elements/1.1/"/>
    <ds:schemaRef ds:uri="http://schemas.microsoft.com/office/2006/metadata/propertie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304487-bc56-4f31-9a13-3f18ee07b2f1"/>
    <ds:schemaRef ds:uri="http://www.w3.org/XML/1998/namespace"/>
    <ds:schemaRef ds:uri="http://purl.org/dc/dcmitype/"/>
  </ds:schemaRefs>
</ds:datastoreItem>
</file>

<file path=customXml/itemProps2.xml><?xml version="1.0" encoding="utf-8"?>
<ds:datastoreItem xmlns:ds="http://schemas.openxmlformats.org/officeDocument/2006/customXml" ds:itemID="{359D84B0-CD96-4354-8FC5-D910A65C59C7}">
  <ds:schemaRefs>
    <ds:schemaRef ds:uri="http://schemas.microsoft.com/sharepoint/v3/contenttype/forms"/>
  </ds:schemaRefs>
</ds:datastoreItem>
</file>

<file path=customXml/itemProps3.xml><?xml version="1.0" encoding="utf-8"?>
<ds:datastoreItem xmlns:ds="http://schemas.openxmlformats.org/officeDocument/2006/customXml" ds:itemID="{4493C43D-68EA-4A2B-BB5D-FAD08449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2025-07-24T12:56:00Z</dcterms:created>
  <dcterms:modified xsi:type="dcterms:W3CDTF">2025-07-24T12:56:00Z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