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39CA6C2E" wp14:editId="39CA6C2F">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261390" w:rsidP="00DE6D25">
            <w:r>
              <w:t>Student Experience Plan – 5R Sub Group</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Default="00261390" w:rsidP="003E723B">
            <w:r>
              <w:t>Jakki Jeff</w:t>
            </w:r>
            <w:r w:rsidR="0035743B">
              <w:t>er</w:t>
            </w:r>
            <w:r>
              <w:t>y</w:t>
            </w:r>
          </w:p>
          <w:p w:rsidR="00261390" w:rsidRPr="00656F1C" w:rsidRDefault="00261390" w:rsidP="003E723B">
            <w:r>
              <w:t>Monica Hoenigman</w:t>
            </w:r>
            <w:r w:rsidR="0035743B">
              <w:t>n</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2370E6" w:rsidP="0027399A">
            <w:r>
              <w:t>13/08/20</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1508A4"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D1027A" w:rsidRDefault="00D1027A" w:rsidP="00D1027A">
            <w:pPr>
              <w:rPr>
                <w:rFonts w:ascii="Calibri" w:hAnsi="Calibri" w:cs="Calibri"/>
                <w:sz w:val="22"/>
                <w:szCs w:val="22"/>
              </w:rPr>
            </w:pPr>
            <w:r>
              <w:t xml:space="preserve">As we progress to phase one of the </w:t>
            </w:r>
            <w:hyperlink r:id="rId9" w:history="1">
              <w:r>
                <w:rPr>
                  <w:rStyle w:val="Hyperlink"/>
                </w:rPr>
                <w:t>Scottish Government’s Route Map</w:t>
              </w:r>
            </w:hyperlink>
            <w:r>
              <w:t xml:space="preserve"> for how we carefully and safely navigate our way out of the current lockdown restrictions, the College is also now looking to the future, and aligning our planning to the Government’s route map. </w:t>
            </w:r>
          </w:p>
          <w:p w:rsidR="00D1027A" w:rsidRDefault="00D1027A" w:rsidP="00D1027A">
            <w:pPr>
              <w:spacing w:line="276" w:lineRule="auto"/>
            </w:pPr>
            <w:r>
              <w:t xml:space="preserve">In order to ensure a coordinated planning approach across the College, the Principal has developed the Edinburgh College 5R Plan. </w:t>
            </w:r>
          </w:p>
          <w:p w:rsidR="00D1027A" w:rsidRDefault="00D1027A" w:rsidP="00D1027A">
            <w:pPr>
              <w:spacing w:line="276" w:lineRule="auto"/>
            </w:pPr>
          </w:p>
          <w:p w:rsidR="00D1027A" w:rsidRDefault="00D1027A" w:rsidP="00D1027A">
            <w:pPr>
              <w:spacing w:line="276" w:lineRule="auto"/>
            </w:pPr>
            <w:r w:rsidRPr="00967DC0">
              <w:rPr>
                <w:b/>
              </w:rPr>
              <w:t xml:space="preserve">The </w:t>
            </w:r>
            <w:r>
              <w:rPr>
                <w:b/>
              </w:rPr>
              <w:t>Student Experience Sub</w:t>
            </w:r>
            <w:r w:rsidRPr="00967DC0">
              <w:rPr>
                <w:b/>
              </w:rPr>
              <w:t xml:space="preserve"> Group</w:t>
            </w:r>
            <w:r>
              <w:t xml:space="preserve"> 5R Plan maps out five phases which the College will navigate through, in order to move from crisis response, to reopening safely and effectively, and then to ensure a sustainable long-term future for the College. The five phases are:</w:t>
            </w:r>
          </w:p>
          <w:p w:rsidR="00D1027A" w:rsidRDefault="00D1027A" w:rsidP="00D1027A">
            <w:pPr>
              <w:spacing w:line="276" w:lineRule="auto"/>
            </w:pPr>
          </w:p>
          <w:p w:rsidR="00D1027A" w:rsidRDefault="00D1027A" w:rsidP="00D1027A">
            <w:pPr>
              <w:pStyle w:val="ListParagraph"/>
              <w:numPr>
                <w:ilvl w:val="0"/>
                <w:numId w:val="14"/>
              </w:numPr>
              <w:spacing w:line="276" w:lineRule="auto"/>
            </w:pPr>
            <w:r>
              <w:t>Respond – initial crisis response to the pandemic</w:t>
            </w:r>
          </w:p>
          <w:p w:rsidR="00D1027A" w:rsidRDefault="00D1027A" w:rsidP="00D1027A">
            <w:pPr>
              <w:pStyle w:val="ListParagraph"/>
              <w:numPr>
                <w:ilvl w:val="0"/>
                <w:numId w:val="14"/>
              </w:numPr>
              <w:spacing w:line="276" w:lineRule="auto"/>
            </w:pPr>
            <w:r>
              <w:t xml:space="preserve">Resilience – resetting College operations and planning for the return </w:t>
            </w:r>
          </w:p>
          <w:p w:rsidR="00D1027A" w:rsidRDefault="00D1027A" w:rsidP="00D1027A">
            <w:pPr>
              <w:pStyle w:val="ListParagraph"/>
              <w:numPr>
                <w:ilvl w:val="0"/>
                <w:numId w:val="14"/>
              </w:numPr>
              <w:spacing w:line="276" w:lineRule="auto"/>
            </w:pPr>
            <w:r>
              <w:t>Return – starting the new academic year</w:t>
            </w:r>
          </w:p>
          <w:p w:rsidR="00D1027A" w:rsidRDefault="00D1027A" w:rsidP="00D1027A">
            <w:pPr>
              <w:pStyle w:val="ListParagraph"/>
              <w:numPr>
                <w:ilvl w:val="0"/>
                <w:numId w:val="14"/>
              </w:numPr>
              <w:spacing w:line="276" w:lineRule="auto"/>
            </w:pPr>
            <w:r>
              <w:lastRenderedPageBreak/>
              <w:t>Reimagine &amp; Reinvent – planning on how the College will change and adapt to the ‘new normal’</w:t>
            </w:r>
          </w:p>
          <w:p w:rsidR="00D1027A" w:rsidRDefault="00D1027A" w:rsidP="00D1027A">
            <w:pPr>
              <w:pStyle w:val="ListParagraph"/>
              <w:numPr>
                <w:ilvl w:val="0"/>
                <w:numId w:val="14"/>
              </w:numPr>
              <w:spacing w:line="276" w:lineRule="auto"/>
            </w:pPr>
            <w:r>
              <w:t>Reform – implementing significant change to ensure the long-term sustainability and growth of the College</w:t>
            </w:r>
          </w:p>
          <w:p w:rsidR="00C81A1C" w:rsidRDefault="00C81A1C" w:rsidP="003E723B">
            <w:pPr>
              <w:spacing w:before="40"/>
            </w:pPr>
          </w:p>
          <w:p w:rsidR="00CD6457" w:rsidRPr="00B62096" w:rsidRDefault="00CD6457" w:rsidP="003E723B">
            <w:pPr>
              <w:spacing w:before="40"/>
            </w:pPr>
            <w:r>
              <w:t>To ensure we have a continued</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lastRenderedPageBreak/>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Default="001F1C60" w:rsidP="001F1C60">
            <w:pPr>
              <w:pStyle w:val="ListParagraph"/>
              <w:numPr>
                <w:ilvl w:val="0"/>
                <w:numId w:val="19"/>
              </w:numPr>
              <w:spacing w:before="40"/>
            </w:pPr>
            <w:r>
              <w:t>Students</w:t>
            </w:r>
          </w:p>
          <w:p w:rsidR="001F1C60" w:rsidRDefault="001F1C60" w:rsidP="001F1C60">
            <w:pPr>
              <w:pStyle w:val="ListParagraph"/>
              <w:numPr>
                <w:ilvl w:val="0"/>
                <w:numId w:val="19"/>
              </w:numPr>
              <w:spacing w:before="40"/>
            </w:pPr>
            <w:r>
              <w:t>Staff</w:t>
            </w:r>
          </w:p>
          <w:p w:rsidR="001F1C60" w:rsidRDefault="001F1C60" w:rsidP="001F1C60">
            <w:pPr>
              <w:pStyle w:val="ListParagraph"/>
              <w:numPr>
                <w:ilvl w:val="0"/>
                <w:numId w:val="19"/>
              </w:numPr>
              <w:spacing w:before="40"/>
            </w:pPr>
            <w:r>
              <w:t>ECSA</w:t>
            </w:r>
          </w:p>
          <w:p w:rsidR="001F1C60" w:rsidRDefault="001F1C60" w:rsidP="001F1C60">
            <w:pPr>
              <w:pStyle w:val="ListParagraph"/>
              <w:numPr>
                <w:ilvl w:val="0"/>
                <w:numId w:val="19"/>
              </w:numPr>
              <w:spacing w:before="40"/>
            </w:pPr>
            <w:r>
              <w:t>Trade unions – Unison and EIS</w:t>
            </w:r>
          </w:p>
          <w:p w:rsidR="001F1C60" w:rsidRPr="00B62096" w:rsidRDefault="001F1C60" w:rsidP="001F1C60">
            <w:pPr>
              <w:pStyle w:val="ListParagraph"/>
              <w:numPr>
                <w:ilvl w:val="0"/>
                <w:numId w:val="19"/>
              </w:numPr>
              <w:spacing w:before="40"/>
            </w:pPr>
            <w:r>
              <w:t>Schools (SCP)</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FE5CDB" w:rsidRPr="00FE5CDB" w:rsidRDefault="00FE5CDB" w:rsidP="00C71B1C">
            <w:pPr>
              <w:pStyle w:val="ListParagraph"/>
              <w:numPr>
                <w:ilvl w:val="0"/>
                <w:numId w:val="17"/>
              </w:numPr>
              <w:spacing w:before="40"/>
              <w:rPr>
                <w:rFonts w:eastAsia="Times New Roman"/>
                <w:bCs/>
                <w:lang w:val="en" w:eastAsia="en-GB"/>
              </w:rPr>
            </w:pPr>
            <w:r w:rsidRPr="00FE5CDB">
              <w:rPr>
                <w:rFonts w:eastAsia="Times New Roman"/>
                <w:bCs/>
                <w:lang w:val="en" w:eastAsia="en-GB"/>
              </w:rPr>
              <w:t>Students</w:t>
            </w:r>
          </w:p>
          <w:p w:rsidR="00D56CEC" w:rsidRPr="006419C8" w:rsidRDefault="00C71B1C" w:rsidP="00C71B1C">
            <w:pPr>
              <w:pStyle w:val="ListParagraph"/>
              <w:numPr>
                <w:ilvl w:val="0"/>
                <w:numId w:val="17"/>
              </w:numPr>
              <w:spacing w:before="40"/>
              <w:rPr>
                <w:rFonts w:eastAsia="Times New Roman"/>
                <w:b/>
                <w:lang w:val="en" w:eastAsia="en-GB"/>
              </w:rPr>
            </w:pPr>
            <w:r>
              <w:rPr>
                <w:rFonts w:eastAsia="Times New Roman"/>
                <w:bCs/>
                <w:lang w:val="en" w:eastAsia="en-GB"/>
              </w:rPr>
              <w:t xml:space="preserve">Students </w:t>
            </w:r>
          </w:p>
          <w:p w:rsidR="006419C8" w:rsidRDefault="006419C8" w:rsidP="00C71B1C">
            <w:pPr>
              <w:pStyle w:val="ListParagraph"/>
              <w:numPr>
                <w:ilvl w:val="0"/>
                <w:numId w:val="17"/>
              </w:numPr>
              <w:spacing w:before="40"/>
              <w:rPr>
                <w:rFonts w:eastAsia="Times New Roman"/>
                <w:lang w:val="en" w:eastAsia="en-GB"/>
              </w:rPr>
            </w:pPr>
            <w:r w:rsidRPr="006419C8">
              <w:rPr>
                <w:rFonts w:eastAsia="Times New Roman"/>
                <w:lang w:val="en" w:eastAsia="en-GB"/>
              </w:rPr>
              <w:t>ECSA</w:t>
            </w:r>
          </w:p>
          <w:p w:rsidR="00E93EF4" w:rsidRDefault="00E93EF4" w:rsidP="00C71B1C">
            <w:pPr>
              <w:pStyle w:val="ListParagraph"/>
              <w:numPr>
                <w:ilvl w:val="0"/>
                <w:numId w:val="17"/>
              </w:numPr>
              <w:spacing w:before="40"/>
              <w:rPr>
                <w:rFonts w:eastAsia="Times New Roman"/>
                <w:lang w:val="en" w:eastAsia="en-GB"/>
              </w:rPr>
            </w:pPr>
            <w:r>
              <w:rPr>
                <w:rFonts w:eastAsia="Times New Roman"/>
                <w:lang w:val="en" w:eastAsia="en-GB"/>
              </w:rPr>
              <w:t>Trade unions – Unison and EIS</w:t>
            </w:r>
          </w:p>
          <w:p w:rsidR="001F1C60" w:rsidRPr="006419C8" w:rsidRDefault="001F1C60" w:rsidP="00C71B1C">
            <w:pPr>
              <w:pStyle w:val="ListParagraph"/>
              <w:numPr>
                <w:ilvl w:val="0"/>
                <w:numId w:val="17"/>
              </w:numPr>
              <w:spacing w:before="40"/>
              <w:rPr>
                <w:rFonts w:eastAsia="Times New Roman"/>
                <w:lang w:val="en" w:eastAsia="en-GB"/>
              </w:rPr>
            </w:pPr>
            <w:r>
              <w:rPr>
                <w:rFonts w:eastAsia="Times New Roman"/>
                <w:lang w:val="en" w:eastAsia="en-GB"/>
              </w:rPr>
              <w:t>Local authorities, schools, champion boards</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Default="00B94D76" w:rsidP="0027399A">
            <w:pPr>
              <w:spacing w:before="40"/>
              <w:jc w:val="both"/>
            </w:pPr>
          </w:p>
          <w:p w:rsidR="00FE5CDB" w:rsidRDefault="00FE5CDB" w:rsidP="00C71B1C">
            <w:pPr>
              <w:pStyle w:val="ListParagraph"/>
              <w:numPr>
                <w:ilvl w:val="0"/>
                <w:numId w:val="16"/>
              </w:numPr>
              <w:spacing w:before="40"/>
              <w:jc w:val="both"/>
            </w:pPr>
            <w:r>
              <w:t>Initial consultations with students, staff, and ECSA have taken place</w:t>
            </w:r>
          </w:p>
          <w:p w:rsidR="00FE5CDB" w:rsidRDefault="00FE5CDB" w:rsidP="00C71B1C">
            <w:pPr>
              <w:pStyle w:val="ListParagraph"/>
              <w:numPr>
                <w:ilvl w:val="0"/>
                <w:numId w:val="16"/>
              </w:numPr>
              <w:spacing w:before="40"/>
              <w:jc w:val="both"/>
            </w:pPr>
            <w:r>
              <w:t>Ongoing consultations with students and staff on a weekly basis</w:t>
            </w:r>
          </w:p>
          <w:p w:rsidR="00E93EF4" w:rsidRDefault="00E93EF4" w:rsidP="00C71B1C">
            <w:pPr>
              <w:pStyle w:val="ListParagraph"/>
              <w:numPr>
                <w:ilvl w:val="0"/>
                <w:numId w:val="16"/>
              </w:numPr>
              <w:spacing w:before="40"/>
              <w:jc w:val="both"/>
            </w:pPr>
            <w:r>
              <w:t>Fortnightly 5R Steering Group meetings to explore interdependencies between the 5 plans</w:t>
            </w:r>
          </w:p>
          <w:p w:rsidR="0003695E" w:rsidRDefault="0003695E" w:rsidP="00C71B1C">
            <w:pPr>
              <w:pStyle w:val="ListParagraph"/>
              <w:numPr>
                <w:ilvl w:val="0"/>
                <w:numId w:val="16"/>
              </w:numPr>
              <w:spacing w:before="40"/>
              <w:jc w:val="both"/>
            </w:pPr>
            <w:r>
              <w:t>Consultations with the champion boards, local authorities, schools, etc around any additional requirements they may have</w:t>
            </w:r>
          </w:p>
          <w:p w:rsidR="002F2A68" w:rsidRDefault="002F2A68" w:rsidP="00C71B1C">
            <w:pPr>
              <w:pStyle w:val="ListParagraph"/>
              <w:numPr>
                <w:ilvl w:val="0"/>
                <w:numId w:val="16"/>
              </w:numPr>
              <w:spacing w:before="40"/>
              <w:jc w:val="both"/>
            </w:pPr>
            <w:r>
              <w:t>Evidence from pre-assessments for care experienced students and students with additional support needs</w:t>
            </w:r>
          </w:p>
          <w:p w:rsidR="00C71B1C" w:rsidRPr="00B62096" w:rsidRDefault="00C71B1C" w:rsidP="00C71B1C">
            <w:pPr>
              <w:pStyle w:val="ListParagraph"/>
              <w:numPr>
                <w:ilvl w:val="0"/>
                <w:numId w:val="16"/>
              </w:numPr>
              <w:spacing w:before="40"/>
              <w:jc w:val="both"/>
            </w:pPr>
            <w:r>
              <w:t>Student digital survey to get data on access to technology</w:t>
            </w:r>
            <w:r w:rsidR="008A6431">
              <w:t xml:space="preserve"> going out on August 12</w:t>
            </w:r>
            <w:r w:rsidR="008A6431" w:rsidRPr="008A6431">
              <w:rPr>
                <w:vertAlign w:val="superscript"/>
              </w:rPr>
              <w:t>th</w:t>
            </w:r>
            <w:r w:rsidR="008A6431">
              <w:t xml:space="preserve"> </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lastRenderedPageBreak/>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1508A4" w:rsidP="00AC06CE">
            <w:pPr>
              <w:pStyle w:val="NoSpacing"/>
            </w:pPr>
            <w:r>
              <w:t>Y</w:t>
            </w:r>
          </w:p>
        </w:tc>
        <w:tc>
          <w:tcPr>
            <w:tcW w:w="4166" w:type="dxa"/>
            <w:shd w:val="clear" w:color="auto" w:fill="FFFFFF" w:themeFill="background1"/>
          </w:tcPr>
          <w:p w:rsidR="00E9760D" w:rsidRPr="00B62096" w:rsidRDefault="001508A4" w:rsidP="006F48B0">
            <w:pPr>
              <w:spacing w:before="40"/>
              <w:rPr>
                <w:szCs w:val="20"/>
              </w:rPr>
            </w:pPr>
            <w:r>
              <w:rPr>
                <w:szCs w:val="20"/>
              </w:rPr>
              <w:t xml:space="preserve">Expanded range of </w:t>
            </w:r>
            <w:r w:rsidR="000A2993">
              <w:rPr>
                <w:szCs w:val="20"/>
              </w:rPr>
              <w:t xml:space="preserve">student </w:t>
            </w:r>
            <w:r>
              <w:rPr>
                <w:szCs w:val="20"/>
              </w:rPr>
              <w:t>services we can now provide online, decreasing wait times in physical queues. Quicker access to Q&amp;As, systems, etc now these have been available online. This includes younger students.</w:t>
            </w:r>
          </w:p>
        </w:tc>
        <w:tc>
          <w:tcPr>
            <w:tcW w:w="1220" w:type="dxa"/>
            <w:shd w:val="clear" w:color="auto" w:fill="FFFFFF" w:themeFill="background1"/>
          </w:tcPr>
          <w:p w:rsidR="00E9760D" w:rsidRPr="00B62096" w:rsidRDefault="00595534" w:rsidP="00EC4E61">
            <w:pPr>
              <w:spacing w:before="40"/>
              <w:jc w:val="center"/>
              <w:rPr>
                <w:b/>
                <w:szCs w:val="20"/>
              </w:rPr>
            </w:pPr>
            <w:r>
              <w:rPr>
                <w:b/>
                <w:szCs w:val="20"/>
              </w:rPr>
              <w:t>Y</w:t>
            </w:r>
          </w:p>
        </w:tc>
        <w:tc>
          <w:tcPr>
            <w:tcW w:w="5265" w:type="dxa"/>
            <w:shd w:val="clear" w:color="auto" w:fill="FFFFFF" w:themeFill="background1"/>
          </w:tcPr>
          <w:p w:rsidR="00E9760D" w:rsidRPr="00B62096" w:rsidRDefault="007F1049" w:rsidP="00EC4E61">
            <w:pPr>
              <w:spacing w:before="40"/>
              <w:rPr>
                <w:szCs w:val="20"/>
              </w:rPr>
            </w:pPr>
            <w:r>
              <w:rPr>
                <w:szCs w:val="20"/>
              </w:rPr>
              <w:t>Access to necessary technology is a concern for students from different age groups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753C16" w:rsidP="00AC06CE">
            <w:pPr>
              <w:pStyle w:val="NoSpacing"/>
            </w:pPr>
            <w:r>
              <w:t>Y</w:t>
            </w:r>
          </w:p>
        </w:tc>
        <w:tc>
          <w:tcPr>
            <w:tcW w:w="4166" w:type="dxa"/>
            <w:shd w:val="clear" w:color="auto" w:fill="FFFFFF" w:themeFill="background1"/>
          </w:tcPr>
          <w:p w:rsidR="00E9760D" w:rsidRPr="00B62096" w:rsidRDefault="00753C16" w:rsidP="006F48B0">
            <w:pPr>
              <w:spacing w:before="40"/>
              <w:rPr>
                <w:szCs w:val="20"/>
              </w:rPr>
            </w:pPr>
            <w:r>
              <w:rPr>
                <w:szCs w:val="20"/>
              </w:rPr>
              <w:t>Expanded range of</w:t>
            </w:r>
            <w:r w:rsidR="000A2993">
              <w:rPr>
                <w:szCs w:val="20"/>
              </w:rPr>
              <w:t xml:space="preserve"> student</w:t>
            </w:r>
            <w:r>
              <w:rPr>
                <w:szCs w:val="20"/>
              </w:rPr>
              <w:t xml:space="preserve"> services we can now provide </w:t>
            </w:r>
            <w:r w:rsidR="0032550E">
              <w:rPr>
                <w:szCs w:val="20"/>
              </w:rPr>
              <w:t>online</w:t>
            </w:r>
            <w:r w:rsidR="0092176F">
              <w:rPr>
                <w:szCs w:val="20"/>
              </w:rPr>
              <w:t>, decreasing wait times in physical queues. Quicker access to Q&amp;As, systems, etc now these have been available online.</w:t>
            </w:r>
          </w:p>
        </w:tc>
        <w:tc>
          <w:tcPr>
            <w:tcW w:w="1220" w:type="dxa"/>
            <w:shd w:val="clear" w:color="auto" w:fill="FFFFFF" w:themeFill="background1"/>
          </w:tcPr>
          <w:p w:rsidR="00E9760D" w:rsidRPr="00B62096" w:rsidRDefault="00E03C7A" w:rsidP="00EC4E61">
            <w:pPr>
              <w:spacing w:before="40"/>
              <w:jc w:val="center"/>
              <w:rPr>
                <w:b/>
                <w:szCs w:val="20"/>
              </w:rPr>
            </w:pPr>
            <w:r>
              <w:rPr>
                <w:b/>
                <w:szCs w:val="20"/>
              </w:rPr>
              <w:t>Y</w:t>
            </w:r>
          </w:p>
        </w:tc>
        <w:tc>
          <w:tcPr>
            <w:tcW w:w="5265" w:type="dxa"/>
            <w:shd w:val="clear" w:color="auto" w:fill="FFFFFF" w:themeFill="background1"/>
          </w:tcPr>
          <w:p w:rsidR="00E9760D" w:rsidRPr="00B62096" w:rsidRDefault="00E03C7A" w:rsidP="00EC4E61">
            <w:pPr>
              <w:spacing w:before="40"/>
              <w:rPr>
                <w:szCs w:val="20"/>
              </w:rPr>
            </w:pPr>
            <w:r>
              <w:rPr>
                <w:szCs w:val="20"/>
              </w:rPr>
              <w:t>Access to necessary technology is a concern for students with support needs.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0A2993" w:rsidP="00AC06CE">
            <w:pPr>
              <w:pStyle w:val="NoSpacing"/>
            </w:pPr>
            <w:r>
              <w:t>Y</w:t>
            </w:r>
          </w:p>
        </w:tc>
        <w:tc>
          <w:tcPr>
            <w:tcW w:w="4166" w:type="dxa"/>
            <w:shd w:val="clear" w:color="auto" w:fill="FFFFFF" w:themeFill="background1"/>
          </w:tcPr>
          <w:p w:rsidR="00B94D76" w:rsidRPr="00B62096" w:rsidRDefault="000A2993" w:rsidP="006F48B0">
            <w:pPr>
              <w:spacing w:before="40"/>
              <w:rPr>
                <w:szCs w:val="20"/>
              </w:rPr>
            </w:pPr>
            <w:r>
              <w:rPr>
                <w:szCs w:val="20"/>
              </w:rPr>
              <w:t>Expanded range of student services we can now provide online, decreasing wait times in physical queues. Quicker access to Q&amp;As, systems, etc now these have been available online. This includes access to counselling.</w:t>
            </w:r>
          </w:p>
        </w:tc>
        <w:tc>
          <w:tcPr>
            <w:tcW w:w="1220" w:type="dxa"/>
            <w:shd w:val="clear" w:color="auto" w:fill="FFFFFF" w:themeFill="background1"/>
          </w:tcPr>
          <w:p w:rsidR="00E9760D" w:rsidRPr="00B62096" w:rsidRDefault="00101677"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6419C8"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A9041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6419C8"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A90415"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177C8E"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177C8E" w:rsidP="00EC4E61">
            <w:pPr>
              <w:spacing w:before="40"/>
              <w:jc w:val="center"/>
              <w:rPr>
                <w:b/>
                <w:szCs w:val="20"/>
              </w:rPr>
            </w:pPr>
            <w:r>
              <w:rPr>
                <w:b/>
                <w:szCs w:val="20"/>
              </w:rPr>
              <w:t>Y</w:t>
            </w:r>
          </w:p>
        </w:tc>
        <w:tc>
          <w:tcPr>
            <w:tcW w:w="5265" w:type="dxa"/>
            <w:shd w:val="clear" w:color="auto" w:fill="FFFFFF" w:themeFill="background1"/>
          </w:tcPr>
          <w:p w:rsidR="00E9760D" w:rsidRPr="00B62096" w:rsidRDefault="007647BC" w:rsidP="00EC4E61">
            <w:pPr>
              <w:spacing w:before="40"/>
              <w:rPr>
                <w:szCs w:val="20"/>
              </w:rPr>
            </w:pPr>
            <w:r>
              <w:rPr>
                <w:szCs w:val="20"/>
              </w:rPr>
              <w:t xml:space="preserve">ESOL </w:t>
            </w:r>
            <w:r w:rsidR="00547024">
              <w:rPr>
                <w:szCs w:val="20"/>
              </w:rPr>
              <w:t>learners may have difficulty accessing systems that have been moved online.</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6419C8" w:rsidP="00AC06CE">
            <w:pPr>
              <w:pStyle w:val="NoSpacing"/>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101677"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lastRenderedPageBreak/>
              <w:t>Sex</w:t>
            </w:r>
          </w:p>
        </w:tc>
        <w:tc>
          <w:tcPr>
            <w:tcW w:w="1399" w:type="dxa"/>
            <w:tcBorders>
              <w:top w:val="single" w:sz="4" w:space="0" w:color="auto"/>
            </w:tcBorders>
            <w:shd w:val="clear" w:color="auto" w:fill="FFFFFF" w:themeFill="background1"/>
          </w:tcPr>
          <w:p w:rsidR="00E9760D" w:rsidRPr="00AC06CE" w:rsidRDefault="0002742B" w:rsidP="00AC06CE">
            <w:pPr>
              <w:pStyle w:val="NoSpacing"/>
            </w:pPr>
            <w:r>
              <w:t>Y</w:t>
            </w:r>
          </w:p>
        </w:tc>
        <w:tc>
          <w:tcPr>
            <w:tcW w:w="4166" w:type="dxa"/>
            <w:shd w:val="clear" w:color="auto" w:fill="FFFFFF" w:themeFill="background1"/>
          </w:tcPr>
          <w:p w:rsidR="00E9760D" w:rsidRPr="00B62096" w:rsidRDefault="0002742B" w:rsidP="006F48B0">
            <w:pPr>
              <w:spacing w:before="40"/>
              <w:rPr>
                <w:szCs w:val="20"/>
              </w:rPr>
            </w:pPr>
            <w:r>
              <w:rPr>
                <w:szCs w:val="20"/>
              </w:rPr>
              <w:t xml:space="preserve">Work with </w:t>
            </w:r>
            <w:proofErr w:type="spellStart"/>
            <w:r>
              <w:rPr>
                <w:szCs w:val="20"/>
              </w:rPr>
              <w:t>GoGirls</w:t>
            </w:r>
            <w:proofErr w:type="spellEnd"/>
            <w:r>
              <w:rPr>
                <w:szCs w:val="20"/>
              </w:rPr>
              <w:t xml:space="preserve"> to have sanitary products sent out, rather than students having to visit campus to </w:t>
            </w:r>
            <w:r w:rsidR="00292E7D">
              <w:rPr>
                <w:szCs w:val="20"/>
              </w:rPr>
              <w:t>get these products (tackling period poverty)</w:t>
            </w:r>
          </w:p>
        </w:tc>
        <w:tc>
          <w:tcPr>
            <w:tcW w:w="1220" w:type="dxa"/>
            <w:shd w:val="clear" w:color="auto" w:fill="FFFFFF" w:themeFill="background1"/>
          </w:tcPr>
          <w:p w:rsidR="00E9760D" w:rsidRPr="00B62096" w:rsidRDefault="00647487"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0A2993" w:rsidP="00AC06CE">
            <w:pPr>
              <w:pStyle w:val="NoSpacing"/>
            </w:pPr>
            <w:r>
              <w:t>Y</w:t>
            </w:r>
          </w:p>
        </w:tc>
        <w:tc>
          <w:tcPr>
            <w:tcW w:w="4166" w:type="dxa"/>
            <w:shd w:val="clear" w:color="auto" w:fill="FFFFFF" w:themeFill="background1"/>
          </w:tcPr>
          <w:p w:rsidR="00E9760D" w:rsidRPr="00B62096" w:rsidRDefault="000A2993" w:rsidP="006F48B0">
            <w:pPr>
              <w:spacing w:before="40"/>
              <w:rPr>
                <w:szCs w:val="20"/>
              </w:rPr>
            </w:pPr>
            <w:r>
              <w:rPr>
                <w:szCs w:val="20"/>
              </w:rPr>
              <w:t>Expanded range of student services we can now provide online, decreasing wait times in physical queues. Quicker access to Q&amp;As, systems, etc now these have been available online. This includes access to counselling.</w:t>
            </w:r>
          </w:p>
        </w:tc>
        <w:tc>
          <w:tcPr>
            <w:tcW w:w="1220" w:type="dxa"/>
            <w:shd w:val="clear" w:color="auto" w:fill="FFFFFF" w:themeFill="background1"/>
          </w:tcPr>
          <w:p w:rsidR="00E9760D" w:rsidRPr="00B62096" w:rsidRDefault="00647487" w:rsidP="00EC4E61">
            <w:pPr>
              <w:spacing w:before="40"/>
              <w:jc w:val="center"/>
              <w:rPr>
                <w:b/>
                <w:szCs w:val="20"/>
              </w:rPr>
            </w:pPr>
            <w:r>
              <w:rPr>
                <w:b/>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92176F" w:rsidP="00AC06CE">
            <w:pPr>
              <w:pStyle w:val="NoSpacing"/>
            </w:pPr>
            <w:r>
              <w:t>Y</w:t>
            </w:r>
          </w:p>
        </w:tc>
        <w:tc>
          <w:tcPr>
            <w:tcW w:w="4166" w:type="dxa"/>
            <w:shd w:val="clear" w:color="auto" w:fill="FFFFFF" w:themeFill="background1"/>
          </w:tcPr>
          <w:p w:rsidR="00E9760D" w:rsidRDefault="0092176F" w:rsidP="006F48B0">
            <w:pPr>
              <w:spacing w:before="40"/>
              <w:rPr>
                <w:szCs w:val="20"/>
              </w:rPr>
            </w:pPr>
            <w:r>
              <w:rPr>
                <w:szCs w:val="20"/>
              </w:rPr>
              <w:t>Faster payments now available for support funding</w:t>
            </w:r>
          </w:p>
          <w:p w:rsidR="00292E7D" w:rsidRPr="00B62096" w:rsidRDefault="00292E7D" w:rsidP="006F48B0">
            <w:pPr>
              <w:spacing w:before="40"/>
              <w:rPr>
                <w:szCs w:val="20"/>
              </w:rPr>
            </w:pPr>
            <w:r>
              <w:rPr>
                <w:szCs w:val="20"/>
              </w:rPr>
              <w:t xml:space="preserve">Work with </w:t>
            </w:r>
            <w:proofErr w:type="spellStart"/>
            <w:r>
              <w:rPr>
                <w:szCs w:val="20"/>
              </w:rPr>
              <w:t>GoGirls</w:t>
            </w:r>
            <w:proofErr w:type="spellEnd"/>
            <w:r>
              <w:rPr>
                <w:szCs w:val="20"/>
              </w:rPr>
              <w:t xml:space="preserve"> to have sanitary products sent out, rather than students having to visit campus to get these products (tackling period poverty)</w:t>
            </w:r>
          </w:p>
        </w:tc>
        <w:tc>
          <w:tcPr>
            <w:tcW w:w="1220" w:type="dxa"/>
            <w:shd w:val="clear" w:color="auto" w:fill="FFFFFF" w:themeFill="background1"/>
          </w:tcPr>
          <w:p w:rsidR="00E9760D" w:rsidRPr="00B62096" w:rsidRDefault="008A6431" w:rsidP="00EC4E61">
            <w:pPr>
              <w:spacing w:before="40"/>
              <w:jc w:val="center"/>
              <w:rPr>
                <w:b/>
                <w:szCs w:val="20"/>
              </w:rPr>
            </w:pPr>
            <w:r>
              <w:rPr>
                <w:b/>
                <w:szCs w:val="20"/>
              </w:rPr>
              <w:t>Y</w:t>
            </w:r>
          </w:p>
        </w:tc>
        <w:tc>
          <w:tcPr>
            <w:tcW w:w="5265" w:type="dxa"/>
            <w:shd w:val="clear" w:color="auto" w:fill="FFFFFF" w:themeFill="background1"/>
          </w:tcPr>
          <w:p w:rsidR="00E9760D" w:rsidRPr="00B62096" w:rsidRDefault="00595534" w:rsidP="00EC4E61">
            <w:pPr>
              <w:spacing w:before="40"/>
              <w:rPr>
                <w:szCs w:val="20"/>
              </w:rPr>
            </w:pPr>
            <w:r>
              <w:rPr>
                <w:szCs w:val="20"/>
              </w:rPr>
              <w:t>Access to necessary technology is a concern for SIMD10 students.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D8237D">
            <w:r>
              <w:t xml:space="preserve">Care </w:t>
            </w:r>
            <w:r w:rsidR="00D8237D">
              <w:t>Experienced people</w:t>
            </w:r>
            <w:r w:rsidR="00F7144E">
              <w:t>*</w:t>
            </w:r>
          </w:p>
        </w:tc>
        <w:tc>
          <w:tcPr>
            <w:tcW w:w="1399" w:type="dxa"/>
            <w:tcBorders>
              <w:top w:val="single" w:sz="4" w:space="0" w:color="auto"/>
            </w:tcBorders>
            <w:shd w:val="clear" w:color="auto" w:fill="FFFFFF" w:themeFill="background1"/>
          </w:tcPr>
          <w:p w:rsidR="00E9760D" w:rsidRPr="00AC06CE" w:rsidRDefault="00753C16" w:rsidP="00AC06CE">
            <w:pPr>
              <w:pStyle w:val="NoSpacing"/>
            </w:pPr>
            <w:r>
              <w:t>Y</w:t>
            </w:r>
          </w:p>
        </w:tc>
        <w:tc>
          <w:tcPr>
            <w:tcW w:w="4166" w:type="dxa"/>
            <w:shd w:val="clear" w:color="auto" w:fill="FFFFFF" w:themeFill="background1"/>
          </w:tcPr>
          <w:p w:rsidR="00E9760D" w:rsidRPr="00B62096" w:rsidRDefault="0092176F" w:rsidP="006F48B0">
            <w:pPr>
              <w:spacing w:before="40"/>
              <w:rPr>
                <w:szCs w:val="20"/>
              </w:rPr>
            </w:pPr>
            <w:r>
              <w:rPr>
                <w:szCs w:val="20"/>
              </w:rPr>
              <w:t xml:space="preserve">Expanded range of </w:t>
            </w:r>
            <w:r w:rsidR="000A2993">
              <w:rPr>
                <w:szCs w:val="20"/>
              </w:rPr>
              <w:t xml:space="preserve">student </w:t>
            </w:r>
            <w:r>
              <w:rPr>
                <w:szCs w:val="20"/>
              </w:rPr>
              <w:t>services we can now provide online, decreasing wait times in physical queues. Quicker access to Q&amp;As, systems, etc now these have been available online.</w:t>
            </w:r>
          </w:p>
        </w:tc>
        <w:tc>
          <w:tcPr>
            <w:tcW w:w="1220" w:type="dxa"/>
            <w:shd w:val="clear" w:color="auto" w:fill="FFFFFF" w:themeFill="background1"/>
          </w:tcPr>
          <w:p w:rsidR="00E9760D" w:rsidRPr="00B62096" w:rsidRDefault="00E03C7A" w:rsidP="00EC4E61">
            <w:pPr>
              <w:spacing w:before="40"/>
              <w:jc w:val="center"/>
              <w:rPr>
                <w:b/>
                <w:szCs w:val="20"/>
              </w:rPr>
            </w:pPr>
            <w:r>
              <w:rPr>
                <w:b/>
                <w:szCs w:val="20"/>
              </w:rPr>
              <w:t>Y</w:t>
            </w:r>
          </w:p>
        </w:tc>
        <w:tc>
          <w:tcPr>
            <w:tcW w:w="5265" w:type="dxa"/>
            <w:shd w:val="clear" w:color="auto" w:fill="FFFFFF" w:themeFill="background1"/>
          </w:tcPr>
          <w:p w:rsidR="00E9760D" w:rsidRPr="00B62096" w:rsidRDefault="00E03C7A" w:rsidP="00EC4E61">
            <w:pPr>
              <w:spacing w:before="40"/>
              <w:rPr>
                <w:szCs w:val="20"/>
              </w:rPr>
            </w:pPr>
            <w:r>
              <w:rPr>
                <w:szCs w:val="20"/>
              </w:rPr>
              <w:t>Access to necessary technology is a concern for students with support needs.</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3A1047" w:rsidP="00AC06CE">
            <w:pPr>
              <w:pStyle w:val="NoSpacing"/>
            </w:pPr>
            <w:r>
              <w:t>y</w:t>
            </w:r>
          </w:p>
        </w:tc>
        <w:tc>
          <w:tcPr>
            <w:tcW w:w="4166" w:type="dxa"/>
            <w:shd w:val="clear" w:color="auto" w:fill="FFFFFF" w:themeFill="background1"/>
          </w:tcPr>
          <w:p w:rsidR="00E9760D" w:rsidRDefault="003A1047" w:rsidP="006F48B0">
            <w:pPr>
              <w:spacing w:before="40"/>
              <w:rPr>
                <w:szCs w:val="20"/>
              </w:rPr>
            </w:pPr>
            <w:r>
              <w:rPr>
                <w:szCs w:val="20"/>
              </w:rPr>
              <w:t xml:space="preserve">Expanded range of </w:t>
            </w:r>
            <w:r w:rsidR="000A2993">
              <w:rPr>
                <w:szCs w:val="20"/>
              </w:rPr>
              <w:t xml:space="preserve">student </w:t>
            </w:r>
            <w:r>
              <w:rPr>
                <w:szCs w:val="20"/>
              </w:rPr>
              <w:t>services we can now provide online, decreasing wait times in physical queues. Quicker access to Q&amp;As, systems, etc now these have been available online.</w:t>
            </w:r>
          </w:p>
          <w:p w:rsidR="00F53A85" w:rsidRPr="00B62096" w:rsidRDefault="00F53A85" w:rsidP="006F48B0">
            <w:pPr>
              <w:spacing w:before="40"/>
              <w:rPr>
                <w:szCs w:val="20"/>
              </w:rPr>
            </w:pPr>
            <w:r>
              <w:rPr>
                <w:szCs w:val="20"/>
              </w:rPr>
              <w:lastRenderedPageBreak/>
              <w:t>Flexibility in how and when they engage with learning may be beneficial.</w:t>
            </w:r>
          </w:p>
        </w:tc>
        <w:tc>
          <w:tcPr>
            <w:tcW w:w="1220" w:type="dxa"/>
            <w:shd w:val="clear" w:color="auto" w:fill="FFFFFF" w:themeFill="background1"/>
          </w:tcPr>
          <w:p w:rsidR="00E9760D" w:rsidRPr="00B62096" w:rsidRDefault="007A4831" w:rsidP="00EC4E61">
            <w:pPr>
              <w:spacing w:before="40"/>
              <w:jc w:val="center"/>
              <w:rPr>
                <w:b/>
                <w:szCs w:val="20"/>
              </w:rPr>
            </w:pPr>
            <w:r>
              <w:rPr>
                <w:b/>
                <w:szCs w:val="20"/>
              </w:rPr>
              <w:lastRenderedPageBreak/>
              <w:t>Y</w:t>
            </w:r>
          </w:p>
        </w:tc>
        <w:tc>
          <w:tcPr>
            <w:tcW w:w="5265" w:type="dxa"/>
            <w:shd w:val="clear" w:color="auto" w:fill="FFFFFF" w:themeFill="background1"/>
          </w:tcPr>
          <w:p w:rsidR="00E9760D" w:rsidRPr="00B62096" w:rsidRDefault="00F53A85" w:rsidP="00EC4E61">
            <w:pPr>
              <w:spacing w:before="40"/>
              <w:rPr>
                <w:szCs w:val="20"/>
              </w:rPr>
            </w:pPr>
            <w:r>
              <w:rPr>
                <w:szCs w:val="20"/>
              </w:rPr>
              <w:t xml:space="preserve">There may be negatives for people with caring responsibilities </w:t>
            </w:r>
            <w:r w:rsidR="00C21B65">
              <w:rPr>
                <w:szCs w:val="20"/>
              </w:rPr>
              <w:t>conducting online learning.</w:t>
            </w:r>
          </w:p>
        </w:tc>
      </w:tr>
    </w:tbl>
    <w:p w:rsidR="004A08E7" w:rsidRDefault="004A08E7" w:rsidP="00106EAB">
      <w:pPr>
        <w:tabs>
          <w:tab w:val="left" w:pos="13404"/>
        </w:tabs>
        <w:spacing w:after="0"/>
        <w:rPr>
          <w:b/>
        </w:rPr>
        <w:sectPr w:rsidR="004A08E7" w:rsidSect="0071002A">
          <w:footerReference w:type="default" r:id="rId10"/>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BB4BE8" w:rsidRDefault="00B54E3C" w:rsidP="00B54E3C">
            <w:pPr>
              <w:pStyle w:val="ListParagraph"/>
              <w:numPr>
                <w:ilvl w:val="0"/>
                <w:numId w:val="18"/>
              </w:numPr>
              <w:spacing w:before="40"/>
              <w:rPr>
                <w:szCs w:val="16"/>
              </w:rPr>
            </w:pPr>
            <w:r>
              <w:rPr>
                <w:szCs w:val="16"/>
              </w:rPr>
              <w:t xml:space="preserve">Supporting the IT group to increase access to technology for students identified above </w:t>
            </w:r>
            <w:r w:rsidR="000C3346">
              <w:rPr>
                <w:szCs w:val="16"/>
              </w:rPr>
              <w:t xml:space="preserve">by issuing </w:t>
            </w:r>
            <w:r w:rsidR="000C3346">
              <w:t>student digital survey.</w:t>
            </w:r>
          </w:p>
          <w:p w:rsidR="00BB4BE8" w:rsidRPr="00547024" w:rsidRDefault="00BB4BE8" w:rsidP="00B54E3C">
            <w:pPr>
              <w:pStyle w:val="ListParagraph"/>
              <w:numPr>
                <w:ilvl w:val="0"/>
                <w:numId w:val="18"/>
              </w:numPr>
              <w:spacing w:before="40"/>
              <w:rPr>
                <w:szCs w:val="16"/>
              </w:rPr>
            </w:pPr>
            <w:r>
              <w:t>Implementing alternative methods of communication for ‘Hard to reach groups’ who may not be able to engage with our normal first line of communication e.g. email – alternative methods include text messages and</w:t>
            </w:r>
            <w:r w:rsidR="001A21D0">
              <w:t xml:space="preserve"> providing support to be available on campus </w:t>
            </w:r>
            <w:r w:rsidR="006419C8">
              <w:t xml:space="preserve">on appointment basis </w:t>
            </w:r>
            <w:r w:rsidR="001A21D0">
              <w:t xml:space="preserve">(Student </w:t>
            </w:r>
            <w:r w:rsidR="006419C8">
              <w:t>Experience)</w:t>
            </w:r>
          </w:p>
          <w:p w:rsidR="00547024" w:rsidRPr="00B54E3C" w:rsidRDefault="00547024" w:rsidP="00B54E3C">
            <w:pPr>
              <w:pStyle w:val="ListParagraph"/>
              <w:numPr>
                <w:ilvl w:val="0"/>
                <w:numId w:val="18"/>
              </w:numPr>
              <w:spacing w:before="40"/>
              <w:rPr>
                <w:szCs w:val="16"/>
              </w:rPr>
            </w:pPr>
            <w:r>
              <w:t xml:space="preserve">Additional support </w:t>
            </w:r>
            <w:r w:rsidR="00693A26">
              <w:t xml:space="preserve">has been put in place </w:t>
            </w:r>
            <w:r>
              <w:t>for ESOL learners to access online services, systems, support.</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Default="00C21B65" w:rsidP="00C21B65">
            <w:pPr>
              <w:pStyle w:val="ListParagraph"/>
              <w:numPr>
                <w:ilvl w:val="0"/>
                <w:numId w:val="20"/>
              </w:numPr>
              <w:spacing w:before="40"/>
              <w:rPr>
                <w:szCs w:val="16"/>
              </w:rPr>
            </w:pPr>
            <w:r>
              <w:rPr>
                <w:szCs w:val="16"/>
              </w:rPr>
              <w:t>Evidence gap re: access to technology is being addressed.</w:t>
            </w:r>
          </w:p>
          <w:p w:rsidR="00C21B65" w:rsidRPr="00F80958" w:rsidRDefault="00C21B65" w:rsidP="00F80958">
            <w:pPr>
              <w:spacing w:before="40"/>
              <w:ind w:left="360"/>
              <w:rPr>
                <w:szCs w:val="16"/>
              </w:rPr>
            </w:pP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F80958" w:rsidRDefault="00266226" w:rsidP="00F80958">
            <w:pPr>
              <w:pStyle w:val="ListParagraph"/>
              <w:numPr>
                <w:ilvl w:val="0"/>
                <w:numId w:val="20"/>
              </w:numPr>
              <w:spacing w:before="40"/>
              <w:rPr>
                <w:szCs w:val="20"/>
              </w:rPr>
            </w:pPr>
            <w:r>
              <w:rPr>
                <w:szCs w:val="20"/>
              </w:rPr>
              <w:t>Equality advanced for some groups due to increase in access to services: e</w:t>
            </w:r>
            <w:r w:rsidR="00F80958" w:rsidRPr="00F80958">
              <w:rPr>
                <w:szCs w:val="20"/>
              </w:rPr>
              <w:t>xpanded range of student services we can now provide online, decreasing wait times in physical queues. Quicker access to Q&amp;As, systems, etc now these have been available online.</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Default="00266226" w:rsidP="004A08E7">
            <w:pPr>
              <w:rPr>
                <w:szCs w:val="16"/>
              </w:rPr>
            </w:pPr>
            <w:r>
              <w:rPr>
                <w:szCs w:val="16"/>
              </w:rPr>
              <w:t>Jakki Jeffe</w:t>
            </w:r>
            <w:r w:rsidR="0035743B">
              <w:rPr>
                <w:szCs w:val="16"/>
              </w:rPr>
              <w:t>r</w:t>
            </w:r>
            <w:r>
              <w:rPr>
                <w:szCs w:val="16"/>
              </w:rPr>
              <w:t>y</w:t>
            </w:r>
          </w:p>
          <w:p w:rsidR="00266226" w:rsidRDefault="00266226" w:rsidP="004A08E7">
            <w:pPr>
              <w:rPr>
                <w:szCs w:val="16"/>
              </w:rPr>
            </w:pPr>
            <w:r>
              <w:rPr>
                <w:szCs w:val="16"/>
              </w:rPr>
              <w:t>Monica Hoenigmann</w:t>
            </w:r>
          </w:p>
          <w:p w:rsidR="00266226" w:rsidRPr="000A2B52" w:rsidRDefault="00266226" w:rsidP="004A08E7">
            <w:pPr>
              <w:rPr>
                <w:szCs w:val="16"/>
              </w:rPr>
            </w:pPr>
            <w:r>
              <w:rPr>
                <w:szCs w:val="16"/>
              </w:rPr>
              <w:t>Bethany Parsons</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5411B9" w:rsidP="009D7A8C">
            <w:pPr>
              <w:rPr>
                <w:szCs w:val="16"/>
              </w:rPr>
            </w:pPr>
            <w:r>
              <w:rPr>
                <w:szCs w:val="16"/>
              </w:rPr>
              <w:t>This is a fluid situation that is very changeable. All adaptations following government guidance will be followed.</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81A1C" w:rsidP="0044724F">
            <w:pPr>
              <w:spacing w:before="120"/>
              <w:rPr>
                <w:b/>
                <w:sz w:val="20"/>
                <w:szCs w:val="20"/>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261CEC" w:rsidP="0044724F">
            <w:pPr>
              <w:spacing w:before="120"/>
              <w:rPr>
                <w:b/>
                <w:sz w:val="22"/>
                <w:szCs w:val="22"/>
              </w:rPr>
            </w:pPr>
            <w:r>
              <w:rPr>
                <w:b/>
                <w:sz w:val="22"/>
                <w:szCs w:val="22"/>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8E67F7" w:rsidP="00DD267E">
            <w:pPr>
              <w:spacing w:before="240"/>
            </w:pPr>
            <w:r>
              <w:t>Feeding back to 5R Committee</w:t>
            </w:r>
          </w:p>
        </w:tc>
        <w:tc>
          <w:tcPr>
            <w:tcW w:w="3545" w:type="dxa"/>
            <w:tcBorders>
              <w:left w:val="single" w:sz="4" w:space="0" w:color="auto"/>
              <w:right w:val="single" w:sz="4" w:space="0" w:color="auto"/>
            </w:tcBorders>
          </w:tcPr>
          <w:p w:rsidR="00C51C24" w:rsidRPr="000A2B52" w:rsidRDefault="0075444C" w:rsidP="00DD267E">
            <w:pPr>
              <w:spacing w:before="240"/>
            </w:pPr>
            <w:r>
              <w:t>Monica</w:t>
            </w:r>
          </w:p>
        </w:tc>
        <w:tc>
          <w:tcPr>
            <w:tcW w:w="3260" w:type="dxa"/>
            <w:tcBorders>
              <w:left w:val="single" w:sz="4" w:space="0" w:color="auto"/>
              <w:right w:val="single" w:sz="4" w:space="0" w:color="auto"/>
            </w:tcBorders>
          </w:tcPr>
          <w:p w:rsidR="00C51C24" w:rsidRPr="000A2B52" w:rsidRDefault="008E67F7" w:rsidP="00DD267E">
            <w:pPr>
              <w:spacing w:before="240"/>
            </w:pPr>
            <w:r>
              <w:t>ongoing</w:t>
            </w:r>
          </w:p>
        </w:tc>
      </w:tr>
      <w:tr w:rsidR="00836A55" w:rsidTr="007B4F24">
        <w:tc>
          <w:tcPr>
            <w:tcW w:w="8074" w:type="dxa"/>
            <w:tcBorders>
              <w:left w:val="single" w:sz="4" w:space="0" w:color="auto"/>
              <w:right w:val="single" w:sz="4" w:space="0" w:color="auto"/>
            </w:tcBorders>
          </w:tcPr>
          <w:p w:rsidR="00836A55" w:rsidRPr="000A2B52" w:rsidRDefault="008E67F7" w:rsidP="00DD267E">
            <w:pPr>
              <w:spacing w:before="240"/>
            </w:pPr>
            <w:r>
              <w:t>Collation of data on digital survey</w:t>
            </w:r>
          </w:p>
        </w:tc>
        <w:tc>
          <w:tcPr>
            <w:tcW w:w="3545" w:type="dxa"/>
            <w:tcBorders>
              <w:left w:val="single" w:sz="4" w:space="0" w:color="auto"/>
              <w:right w:val="single" w:sz="4" w:space="0" w:color="auto"/>
            </w:tcBorders>
          </w:tcPr>
          <w:p w:rsidR="00836A55" w:rsidRPr="000A2B52" w:rsidRDefault="0075444C" w:rsidP="00DD267E">
            <w:pPr>
              <w:spacing w:before="240"/>
            </w:pPr>
            <w:r>
              <w:t>Monica</w:t>
            </w:r>
          </w:p>
        </w:tc>
        <w:tc>
          <w:tcPr>
            <w:tcW w:w="3260" w:type="dxa"/>
            <w:tcBorders>
              <w:left w:val="single" w:sz="4" w:space="0" w:color="auto"/>
              <w:right w:val="single" w:sz="4" w:space="0" w:color="auto"/>
            </w:tcBorders>
          </w:tcPr>
          <w:p w:rsidR="00836A55" w:rsidRPr="000A2B52" w:rsidRDefault="0035743B" w:rsidP="00DD267E">
            <w:pPr>
              <w:spacing w:before="240"/>
            </w:pPr>
            <w:r>
              <w:t>ongoing</w:t>
            </w:r>
          </w:p>
        </w:tc>
      </w:tr>
      <w:tr w:rsidR="00C51C24" w:rsidTr="007B4F24">
        <w:tc>
          <w:tcPr>
            <w:tcW w:w="8074" w:type="dxa"/>
            <w:tcBorders>
              <w:left w:val="single" w:sz="4" w:space="0" w:color="auto"/>
              <w:right w:val="single" w:sz="4" w:space="0" w:color="auto"/>
            </w:tcBorders>
          </w:tcPr>
          <w:p w:rsidR="00C51C24" w:rsidRPr="000A2B52" w:rsidRDefault="008E67F7" w:rsidP="00DD267E">
            <w:pPr>
              <w:spacing w:before="240"/>
            </w:pPr>
            <w:r>
              <w:t>Monitoring of hard-to-reach groups and effectiveness of alternative methods of communication</w:t>
            </w:r>
          </w:p>
        </w:tc>
        <w:tc>
          <w:tcPr>
            <w:tcW w:w="3545" w:type="dxa"/>
            <w:tcBorders>
              <w:left w:val="single" w:sz="4" w:space="0" w:color="auto"/>
              <w:right w:val="single" w:sz="4" w:space="0" w:color="auto"/>
            </w:tcBorders>
          </w:tcPr>
          <w:p w:rsidR="00C51C24" w:rsidRPr="000A2B52" w:rsidRDefault="0075444C" w:rsidP="00DD267E">
            <w:pPr>
              <w:spacing w:before="240"/>
            </w:pPr>
            <w:r>
              <w:t>Monica</w:t>
            </w:r>
          </w:p>
        </w:tc>
        <w:tc>
          <w:tcPr>
            <w:tcW w:w="3260" w:type="dxa"/>
            <w:tcBorders>
              <w:left w:val="single" w:sz="4" w:space="0" w:color="auto"/>
              <w:right w:val="single" w:sz="4" w:space="0" w:color="auto"/>
            </w:tcBorders>
          </w:tcPr>
          <w:p w:rsidR="00C51C24" w:rsidRPr="000A2B52" w:rsidRDefault="0035743B" w:rsidP="00DD267E">
            <w:pPr>
              <w:spacing w:before="240"/>
            </w:pPr>
            <w:r>
              <w:t>ongoing</w:t>
            </w:r>
          </w:p>
        </w:tc>
      </w:tr>
      <w:tr w:rsidR="00C51C24" w:rsidTr="007B4F24">
        <w:tc>
          <w:tcPr>
            <w:tcW w:w="8074" w:type="dxa"/>
            <w:tcBorders>
              <w:left w:val="single" w:sz="4" w:space="0" w:color="auto"/>
              <w:right w:val="single" w:sz="4" w:space="0" w:color="auto"/>
            </w:tcBorders>
          </w:tcPr>
          <w:p w:rsidR="00C51C24" w:rsidRPr="000A2B52" w:rsidRDefault="008E67F7" w:rsidP="00DD267E">
            <w:pPr>
              <w:spacing w:before="240"/>
            </w:pPr>
            <w:r>
              <w:t>New funding processes to be monitored</w:t>
            </w:r>
          </w:p>
        </w:tc>
        <w:tc>
          <w:tcPr>
            <w:tcW w:w="3545" w:type="dxa"/>
            <w:tcBorders>
              <w:left w:val="single" w:sz="4" w:space="0" w:color="auto"/>
              <w:right w:val="single" w:sz="4" w:space="0" w:color="auto"/>
            </w:tcBorders>
          </w:tcPr>
          <w:p w:rsidR="00C51C24" w:rsidRPr="000A2B52" w:rsidRDefault="0075444C" w:rsidP="00DD267E">
            <w:pPr>
              <w:spacing w:before="240"/>
            </w:pPr>
            <w:r>
              <w:t>Monica</w:t>
            </w:r>
          </w:p>
        </w:tc>
        <w:tc>
          <w:tcPr>
            <w:tcW w:w="3260" w:type="dxa"/>
            <w:tcBorders>
              <w:left w:val="single" w:sz="4" w:space="0" w:color="auto"/>
              <w:right w:val="single" w:sz="4" w:space="0" w:color="auto"/>
            </w:tcBorders>
          </w:tcPr>
          <w:p w:rsidR="00C51C24" w:rsidRPr="000A2B52" w:rsidRDefault="0035743B" w:rsidP="00DD267E">
            <w:pPr>
              <w:spacing w:before="240"/>
            </w:pPr>
            <w:r>
              <w:t>ongoing</w:t>
            </w:r>
          </w:p>
        </w:tc>
      </w:tr>
      <w:tr w:rsidR="00C51C24" w:rsidTr="007B4F24">
        <w:tc>
          <w:tcPr>
            <w:tcW w:w="8074" w:type="dxa"/>
            <w:tcBorders>
              <w:left w:val="single" w:sz="4" w:space="0" w:color="auto"/>
              <w:right w:val="single" w:sz="4" w:space="0" w:color="auto"/>
            </w:tcBorders>
          </w:tcPr>
          <w:p w:rsidR="00C51C24" w:rsidRPr="000A2B52" w:rsidRDefault="008E67F7" w:rsidP="00DD267E">
            <w:pPr>
              <w:spacing w:before="240"/>
            </w:pPr>
            <w:r>
              <w:t>Follow updates on Scottish Government Guidance</w:t>
            </w:r>
          </w:p>
        </w:tc>
        <w:tc>
          <w:tcPr>
            <w:tcW w:w="3545" w:type="dxa"/>
            <w:tcBorders>
              <w:left w:val="single" w:sz="4" w:space="0" w:color="auto"/>
              <w:right w:val="single" w:sz="4" w:space="0" w:color="auto"/>
            </w:tcBorders>
          </w:tcPr>
          <w:p w:rsidR="00C51C24" w:rsidRPr="000A2B52" w:rsidRDefault="0075444C" w:rsidP="00DD267E">
            <w:pPr>
              <w:spacing w:before="240"/>
            </w:pPr>
            <w:r>
              <w:t>Monica</w:t>
            </w:r>
          </w:p>
        </w:tc>
        <w:tc>
          <w:tcPr>
            <w:tcW w:w="3260" w:type="dxa"/>
            <w:tcBorders>
              <w:left w:val="single" w:sz="4" w:space="0" w:color="auto"/>
              <w:right w:val="single" w:sz="4" w:space="0" w:color="auto"/>
            </w:tcBorders>
          </w:tcPr>
          <w:p w:rsidR="00C51C24" w:rsidRPr="000A2B52" w:rsidRDefault="0035743B" w:rsidP="00DD267E">
            <w:pPr>
              <w:spacing w:before="240"/>
            </w:pPr>
            <w:r>
              <w:t>ongoing</w:t>
            </w: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bookmarkStart w:id="0" w:name="_GoBack"/>
            <w:bookmarkEnd w:id="0"/>
            <w:r w:rsidR="00A53116">
              <w:rPr>
                <w:noProof/>
                <w:lang w:eastAsia="en-GB"/>
              </w:rPr>
              <w:drawing>
                <wp:inline distT="0" distB="0" distL="0" distR="0">
                  <wp:extent cx="2080260" cy="335280"/>
                  <wp:effectExtent l="0" t="0" r="0" b="7620"/>
                  <wp:docPr id="2" name="Picture 2" descr="cid:image001.jpg@01D4A68D.CAE2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A68D.CAE260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80260" cy="335280"/>
                          </a:xfrm>
                          <a:prstGeom prst="rect">
                            <a:avLst/>
                          </a:prstGeom>
                          <a:noFill/>
                          <a:ln>
                            <a:noFill/>
                          </a:ln>
                        </pic:spPr>
                      </pic:pic>
                    </a:graphicData>
                  </a:graphic>
                </wp:inline>
              </w:drawing>
            </w:r>
            <w:r w:rsidR="00F01FE0">
              <w:rPr>
                <w:sz w:val="20"/>
                <w:szCs w:val="20"/>
              </w:rPr>
              <w:tab/>
            </w:r>
            <w:r w:rsidR="004A7B9E" w:rsidRPr="0066419E">
              <w:rPr>
                <w:sz w:val="22"/>
                <w:szCs w:val="20"/>
              </w:rPr>
              <w:tab/>
            </w:r>
            <w:r>
              <w:rPr>
                <w:b/>
              </w:rPr>
              <w:t>Date:</w:t>
            </w:r>
            <w:r w:rsidR="00B55180">
              <w:rPr>
                <w:b/>
              </w:rPr>
              <w:t xml:space="preserve">  </w:t>
            </w:r>
            <w:r w:rsidR="0035743B">
              <w:rPr>
                <w:b/>
              </w:rPr>
              <w:t>17.08.20</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B034A7">
              <w:t xml:space="preserve">to </w:t>
            </w:r>
            <w:hyperlink r:id="rId13" w:history="1">
              <w:r w:rsidR="00B034A7" w:rsidRPr="00650D2B">
                <w:rPr>
                  <w:rStyle w:val="Hyperlink"/>
                </w:rPr>
                <w:t>equality@edinburghcollege.ac.uk</w:t>
              </w:r>
            </w:hyperlink>
            <w:r w:rsidR="00B034A7">
              <w:t xml:space="preserve"> </w:t>
            </w:r>
            <w:r w:rsidR="004175D0" w:rsidRPr="00943B03">
              <w:t xml:space="preserve">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5DC" w:rsidRDefault="003E05DC" w:rsidP="00EC6BAC">
      <w:pPr>
        <w:spacing w:after="0" w:line="240" w:lineRule="auto"/>
      </w:pPr>
      <w:r>
        <w:separator/>
      </w:r>
    </w:p>
  </w:endnote>
  <w:endnote w:type="continuationSeparator" w:id="0">
    <w:p w:rsidR="003E05DC" w:rsidRDefault="003E05DC"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FE" w:rsidRPr="00EC6BAC" w:rsidRDefault="00A5311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5DC" w:rsidRDefault="003E05DC" w:rsidP="00EC6BAC">
      <w:pPr>
        <w:spacing w:after="0" w:line="240" w:lineRule="auto"/>
      </w:pPr>
      <w:r>
        <w:separator/>
      </w:r>
    </w:p>
  </w:footnote>
  <w:footnote w:type="continuationSeparator" w:id="0">
    <w:p w:rsidR="003E05DC" w:rsidRDefault="003E05DC"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52319"/>
    <w:multiLevelType w:val="hybridMultilevel"/>
    <w:tmpl w:val="37CA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76E1"/>
    <w:multiLevelType w:val="hybridMultilevel"/>
    <w:tmpl w:val="E9F621D4"/>
    <w:lvl w:ilvl="0" w:tplc="1B9A66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B2332"/>
    <w:multiLevelType w:val="hybridMultilevel"/>
    <w:tmpl w:val="F254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B4D57"/>
    <w:multiLevelType w:val="hybridMultilevel"/>
    <w:tmpl w:val="A6CC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F3A6C"/>
    <w:multiLevelType w:val="hybridMultilevel"/>
    <w:tmpl w:val="D234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0101B1"/>
    <w:multiLevelType w:val="hybridMultilevel"/>
    <w:tmpl w:val="34BC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9"/>
  </w:num>
  <w:num w:numId="4">
    <w:abstractNumId w:val="0"/>
  </w:num>
  <w:num w:numId="5">
    <w:abstractNumId w:val="14"/>
  </w:num>
  <w:num w:numId="6">
    <w:abstractNumId w:val="16"/>
  </w:num>
  <w:num w:numId="7">
    <w:abstractNumId w:val="2"/>
  </w:num>
  <w:num w:numId="8">
    <w:abstractNumId w:val="3"/>
  </w:num>
  <w:num w:numId="9">
    <w:abstractNumId w:val="1"/>
  </w:num>
  <w:num w:numId="10">
    <w:abstractNumId w:val="11"/>
  </w:num>
  <w:num w:numId="11">
    <w:abstractNumId w:val="7"/>
  </w:num>
  <w:num w:numId="12">
    <w:abstractNumId w:val="15"/>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5"/>
  </w:num>
  <w:num w:numId="18">
    <w:abstractNumId w:val="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742B"/>
    <w:rsid w:val="0003695E"/>
    <w:rsid w:val="00040BAC"/>
    <w:rsid w:val="00046FB6"/>
    <w:rsid w:val="00051B0F"/>
    <w:rsid w:val="0008211F"/>
    <w:rsid w:val="00090CE9"/>
    <w:rsid w:val="00092415"/>
    <w:rsid w:val="0009275B"/>
    <w:rsid w:val="000A181E"/>
    <w:rsid w:val="000A2993"/>
    <w:rsid w:val="000A2B52"/>
    <w:rsid w:val="000B7095"/>
    <w:rsid w:val="000C3346"/>
    <w:rsid w:val="000C7526"/>
    <w:rsid w:val="000D7B4B"/>
    <w:rsid w:val="00101677"/>
    <w:rsid w:val="00106EAB"/>
    <w:rsid w:val="00112679"/>
    <w:rsid w:val="001133B2"/>
    <w:rsid w:val="00113E60"/>
    <w:rsid w:val="00132768"/>
    <w:rsid w:val="001508A4"/>
    <w:rsid w:val="00153782"/>
    <w:rsid w:val="00166A92"/>
    <w:rsid w:val="00174EC8"/>
    <w:rsid w:val="00175CB7"/>
    <w:rsid w:val="00177C8E"/>
    <w:rsid w:val="001812C7"/>
    <w:rsid w:val="001832E8"/>
    <w:rsid w:val="001845F7"/>
    <w:rsid w:val="001A21D0"/>
    <w:rsid w:val="001B75BB"/>
    <w:rsid w:val="001C5461"/>
    <w:rsid w:val="001D31B4"/>
    <w:rsid w:val="001E121F"/>
    <w:rsid w:val="001E73F1"/>
    <w:rsid w:val="001E7F45"/>
    <w:rsid w:val="001F1C60"/>
    <w:rsid w:val="00202247"/>
    <w:rsid w:val="00211D20"/>
    <w:rsid w:val="00214226"/>
    <w:rsid w:val="0021774A"/>
    <w:rsid w:val="00236EF7"/>
    <w:rsid w:val="002370E6"/>
    <w:rsid w:val="0026100E"/>
    <w:rsid w:val="00261390"/>
    <w:rsid w:val="00261CEC"/>
    <w:rsid w:val="00262B9B"/>
    <w:rsid w:val="00266226"/>
    <w:rsid w:val="0027399A"/>
    <w:rsid w:val="00292E7D"/>
    <w:rsid w:val="002A21A0"/>
    <w:rsid w:val="002A3745"/>
    <w:rsid w:val="002B33E5"/>
    <w:rsid w:val="002B3744"/>
    <w:rsid w:val="002D57F4"/>
    <w:rsid w:val="002F2A68"/>
    <w:rsid w:val="002F31D7"/>
    <w:rsid w:val="002F6BC8"/>
    <w:rsid w:val="00323A6A"/>
    <w:rsid w:val="00325293"/>
    <w:rsid w:val="0032550E"/>
    <w:rsid w:val="00331C19"/>
    <w:rsid w:val="00337760"/>
    <w:rsid w:val="00340898"/>
    <w:rsid w:val="00343996"/>
    <w:rsid w:val="00345E3E"/>
    <w:rsid w:val="00347AED"/>
    <w:rsid w:val="0035084D"/>
    <w:rsid w:val="0035743B"/>
    <w:rsid w:val="00371155"/>
    <w:rsid w:val="003714EC"/>
    <w:rsid w:val="003747D2"/>
    <w:rsid w:val="00383A03"/>
    <w:rsid w:val="003A1047"/>
    <w:rsid w:val="003B3F27"/>
    <w:rsid w:val="003B4171"/>
    <w:rsid w:val="003B5621"/>
    <w:rsid w:val="003C2BC3"/>
    <w:rsid w:val="003E05DC"/>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11B9"/>
    <w:rsid w:val="00545FA5"/>
    <w:rsid w:val="00547024"/>
    <w:rsid w:val="00562A05"/>
    <w:rsid w:val="00566710"/>
    <w:rsid w:val="00587CA2"/>
    <w:rsid w:val="00590127"/>
    <w:rsid w:val="005950BA"/>
    <w:rsid w:val="00595534"/>
    <w:rsid w:val="005B1232"/>
    <w:rsid w:val="005B2EA3"/>
    <w:rsid w:val="005B50FA"/>
    <w:rsid w:val="005B6804"/>
    <w:rsid w:val="005C1F2A"/>
    <w:rsid w:val="005C2CD1"/>
    <w:rsid w:val="005D405A"/>
    <w:rsid w:val="005E2E3B"/>
    <w:rsid w:val="005E5272"/>
    <w:rsid w:val="005E715E"/>
    <w:rsid w:val="005F4827"/>
    <w:rsid w:val="00610DC7"/>
    <w:rsid w:val="0061726E"/>
    <w:rsid w:val="00617783"/>
    <w:rsid w:val="0062032F"/>
    <w:rsid w:val="00634366"/>
    <w:rsid w:val="006419C8"/>
    <w:rsid w:val="00647487"/>
    <w:rsid w:val="00650DAA"/>
    <w:rsid w:val="00656F1C"/>
    <w:rsid w:val="0066419E"/>
    <w:rsid w:val="006845D3"/>
    <w:rsid w:val="00692E21"/>
    <w:rsid w:val="00693A26"/>
    <w:rsid w:val="00694650"/>
    <w:rsid w:val="006B7E5C"/>
    <w:rsid w:val="006D0B08"/>
    <w:rsid w:val="006D3F43"/>
    <w:rsid w:val="006F48B0"/>
    <w:rsid w:val="006F4FC8"/>
    <w:rsid w:val="0070228B"/>
    <w:rsid w:val="00706148"/>
    <w:rsid w:val="00706168"/>
    <w:rsid w:val="0070758D"/>
    <w:rsid w:val="0071002A"/>
    <w:rsid w:val="007246FF"/>
    <w:rsid w:val="00726620"/>
    <w:rsid w:val="00753C16"/>
    <w:rsid w:val="0075444C"/>
    <w:rsid w:val="007647BC"/>
    <w:rsid w:val="00774188"/>
    <w:rsid w:val="00777F52"/>
    <w:rsid w:val="00783596"/>
    <w:rsid w:val="00792882"/>
    <w:rsid w:val="0079621C"/>
    <w:rsid w:val="00797058"/>
    <w:rsid w:val="007A4831"/>
    <w:rsid w:val="007A72E3"/>
    <w:rsid w:val="007B4F24"/>
    <w:rsid w:val="007C0549"/>
    <w:rsid w:val="007F1049"/>
    <w:rsid w:val="007F24AD"/>
    <w:rsid w:val="008048E9"/>
    <w:rsid w:val="00810BFD"/>
    <w:rsid w:val="00836A55"/>
    <w:rsid w:val="0084757F"/>
    <w:rsid w:val="00850631"/>
    <w:rsid w:val="00851AC2"/>
    <w:rsid w:val="0085243E"/>
    <w:rsid w:val="008A5BD0"/>
    <w:rsid w:val="008A6431"/>
    <w:rsid w:val="008B469B"/>
    <w:rsid w:val="008C6AD7"/>
    <w:rsid w:val="008D5F9D"/>
    <w:rsid w:val="008E0C3F"/>
    <w:rsid w:val="008E67F7"/>
    <w:rsid w:val="008F0BB8"/>
    <w:rsid w:val="008F1444"/>
    <w:rsid w:val="0091247F"/>
    <w:rsid w:val="0091480F"/>
    <w:rsid w:val="0092176F"/>
    <w:rsid w:val="009229D8"/>
    <w:rsid w:val="00935DF2"/>
    <w:rsid w:val="00936920"/>
    <w:rsid w:val="009434D9"/>
    <w:rsid w:val="00943B03"/>
    <w:rsid w:val="00957B71"/>
    <w:rsid w:val="009748F9"/>
    <w:rsid w:val="009770BB"/>
    <w:rsid w:val="00994642"/>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116"/>
    <w:rsid w:val="00A53233"/>
    <w:rsid w:val="00A535BD"/>
    <w:rsid w:val="00A90415"/>
    <w:rsid w:val="00AA7470"/>
    <w:rsid w:val="00AB0063"/>
    <w:rsid w:val="00AB08C1"/>
    <w:rsid w:val="00AB52AD"/>
    <w:rsid w:val="00AC06CE"/>
    <w:rsid w:val="00AC2C10"/>
    <w:rsid w:val="00AD3F42"/>
    <w:rsid w:val="00AD7ED7"/>
    <w:rsid w:val="00AF4FFA"/>
    <w:rsid w:val="00B034A7"/>
    <w:rsid w:val="00B066DF"/>
    <w:rsid w:val="00B140A6"/>
    <w:rsid w:val="00B143E2"/>
    <w:rsid w:val="00B14D93"/>
    <w:rsid w:val="00B54E3C"/>
    <w:rsid w:val="00B55180"/>
    <w:rsid w:val="00B57100"/>
    <w:rsid w:val="00B62096"/>
    <w:rsid w:val="00B661F5"/>
    <w:rsid w:val="00B800AA"/>
    <w:rsid w:val="00B805BB"/>
    <w:rsid w:val="00B8537C"/>
    <w:rsid w:val="00B94D76"/>
    <w:rsid w:val="00BA4E2A"/>
    <w:rsid w:val="00BB4BE8"/>
    <w:rsid w:val="00BC2C13"/>
    <w:rsid w:val="00BC31F3"/>
    <w:rsid w:val="00BC69D9"/>
    <w:rsid w:val="00BD0CF6"/>
    <w:rsid w:val="00BE355E"/>
    <w:rsid w:val="00BF16DD"/>
    <w:rsid w:val="00C01DA1"/>
    <w:rsid w:val="00C0227D"/>
    <w:rsid w:val="00C05A1A"/>
    <w:rsid w:val="00C07BE4"/>
    <w:rsid w:val="00C16EFC"/>
    <w:rsid w:val="00C203A8"/>
    <w:rsid w:val="00C21B65"/>
    <w:rsid w:val="00C230DE"/>
    <w:rsid w:val="00C2651E"/>
    <w:rsid w:val="00C45FAC"/>
    <w:rsid w:val="00C47DFD"/>
    <w:rsid w:val="00C51C24"/>
    <w:rsid w:val="00C5569E"/>
    <w:rsid w:val="00C57CA8"/>
    <w:rsid w:val="00C60AC2"/>
    <w:rsid w:val="00C71B1C"/>
    <w:rsid w:val="00C76212"/>
    <w:rsid w:val="00C81A1C"/>
    <w:rsid w:val="00C85426"/>
    <w:rsid w:val="00C91BE9"/>
    <w:rsid w:val="00C9206B"/>
    <w:rsid w:val="00C96FE3"/>
    <w:rsid w:val="00CA1013"/>
    <w:rsid w:val="00CC15A8"/>
    <w:rsid w:val="00CD6457"/>
    <w:rsid w:val="00CE01C1"/>
    <w:rsid w:val="00D1027A"/>
    <w:rsid w:val="00D234C4"/>
    <w:rsid w:val="00D534BE"/>
    <w:rsid w:val="00D56CEC"/>
    <w:rsid w:val="00D605DD"/>
    <w:rsid w:val="00D60C67"/>
    <w:rsid w:val="00D612B4"/>
    <w:rsid w:val="00D75C8B"/>
    <w:rsid w:val="00D77EBC"/>
    <w:rsid w:val="00D8237D"/>
    <w:rsid w:val="00DA6FC9"/>
    <w:rsid w:val="00DB3363"/>
    <w:rsid w:val="00DB3B32"/>
    <w:rsid w:val="00DB4EBC"/>
    <w:rsid w:val="00DD267E"/>
    <w:rsid w:val="00DD7B32"/>
    <w:rsid w:val="00DE6D25"/>
    <w:rsid w:val="00DF5C73"/>
    <w:rsid w:val="00E00BB0"/>
    <w:rsid w:val="00E03C7A"/>
    <w:rsid w:val="00E061D9"/>
    <w:rsid w:val="00E16238"/>
    <w:rsid w:val="00E21817"/>
    <w:rsid w:val="00E54410"/>
    <w:rsid w:val="00E60538"/>
    <w:rsid w:val="00E61161"/>
    <w:rsid w:val="00E818AB"/>
    <w:rsid w:val="00E900AA"/>
    <w:rsid w:val="00E93EF4"/>
    <w:rsid w:val="00E9760D"/>
    <w:rsid w:val="00EA5630"/>
    <w:rsid w:val="00EA7E7F"/>
    <w:rsid w:val="00EB2738"/>
    <w:rsid w:val="00EB7106"/>
    <w:rsid w:val="00EC4BB3"/>
    <w:rsid w:val="00EC4E61"/>
    <w:rsid w:val="00EC6BAC"/>
    <w:rsid w:val="00ED2A8F"/>
    <w:rsid w:val="00ED3BF7"/>
    <w:rsid w:val="00ED6941"/>
    <w:rsid w:val="00EE037F"/>
    <w:rsid w:val="00EF0CCC"/>
    <w:rsid w:val="00EF1AAD"/>
    <w:rsid w:val="00F01FE0"/>
    <w:rsid w:val="00F030DB"/>
    <w:rsid w:val="00F077DE"/>
    <w:rsid w:val="00F154F9"/>
    <w:rsid w:val="00F15763"/>
    <w:rsid w:val="00F17024"/>
    <w:rsid w:val="00F174F9"/>
    <w:rsid w:val="00F300D7"/>
    <w:rsid w:val="00F3789B"/>
    <w:rsid w:val="00F42F8E"/>
    <w:rsid w:val="00F53A85"/>
    <w:rsid w:val="00F63316"/>
    <w:rsid w:val="00F70D37"/>
    <w:rsid w:val="00F7144E"/>
    <w:rsid w:val="00F80958"/>
    <w:rsid w:val="00F853FE"/>
    <w:rsid w:val="00FB5799"/>
    <w:rsid w:val="00FC50F2"/>
    <w:rsid w:val="00FC6575"/>
    <w:rsid w:val="00FD1DD8"/>
    <w:rsid w:val="00FD4016"/>
    <w:rsid w:val="00FE3845"/>
    <w:rsid w:val="00FE465C"/>
    <w:rsid w:val="00FE5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edinburghcollege.ac.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4A68D.CAE2606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scot/binaries/content/documents/govscot/publications/strategy-plan/2020/05/coronavirus-covid-19-framework-decision-making-scotlands-route-map-through-out-crisis/documents/covid-19-framework-decision-making-scotlands-route-map-through-out-crisis/covid-19-framework-decision-making-scotlands-route-map-through-out-crisis/govscot%3Adocument/covid-19-framework-decision-making-scotlands-route-map-through-out-crisis.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1B72D4"/>
    <w:rsid w:val="002C29C5"/>
    <w:rsid w:val="00371E73"/>
    <w:rsid w:val="00395271"/>
    <w:rsid w:val="003C6A2A"/>
    <w:rsid w:val="00416403"/>
    <w:rsid w:val="00453AA8"/>
    <w:rsid w:val="00711AD9"/>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B73FEC70B5DA49992EDCBDE16F4C5D" ma:contentTypeVersion="0" ma:contentTypeDescription="Create a new document." ma:contentTypeScope="" ma:versionID="aeef1cbb253b555baf146fd3a3ee60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82CF1-5536-4DD6-A3D9-5A69CA5F25A3}">
  <ds:schemaRefs>
    <ds:schemaRef ds:uri="http://schemas.openxmlformats.org/officeDocument/2006/bibliography"/>
  </ds:schemaRefs>
</ds:datastoreItem>
</file>

<file path=customXml/itemProps2.xml><?xml version="1.0" encoding="utf-8"?>
<ds:datastoreItem xmlns:ds="http://schemas.openxmlformats.org/officeDocument/2006/customXml" ds:itemID="{B0965345-C9C0-4775-9D4D-C007446C2FB9}"/>
</file>

<file path=customXml/itemProps3.xml><?xml version="1.0" encoding="utf-8"?>
<ds:datastoreItem xmlns:ds="http://schemas.openxmlformats.org/officeDocument/2006/customXml" ds:itemID="{745A80AB-E55E-4D90-9E1C-C637A4026223}"/>
</file>

<file path=customXml/itemProps4.xml><?xml version="1.0" encoding="utf-8"?>
<ds:datastoreItem xmlns:ds="http://schemas.openxmlformats.org/officeDocument/2006/customXml" ds:itemID="{68D45E39-E072-4563-BF50-A22DD66D2AC1}"/>
</file>

<file path=docProps/app.xml><?xml version="1.0" encoding="utf-8"?>
<Properties xmlns="http://schemas.openxmlformats.org/officeDocument/2006/extended-properties" xmlns:vt="http://schemas.openxmlformats.org/officeDocument/2006/docPropsVTypes">
  <Template>Normal</Template>
  <TotalTime>1</TotalTime>
  <Pages>8</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Debbie MacSorley</dc:creator>
  <cp:lastModifiedBy>Debbie MacSorley</cp:lastModifiedBy>
  <cp:revision>3</cp:revision>
  <cp:lastPrinted>2015-09-28T10:56:00Z</cp:lastPrinted>
  <dcterms:created xsi:type="dcterms:W3CDTF">2020-08-17T14:48:00Z</dcterms:created>
  <dcterms:modified xsi:type="dcterms:W3CDTF">2020-08-17T14:59:00Z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0x01010036B73FEC70B5DA49992EDCBDE16F4C5D</vt:lpwstr>
  </property>
</Properties>
</file>